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29" w:type="dxa"/>
        <w:jc w:val="center"/>
        <w:tblLayout w:type="fixed"/>
        <w:tblLook w:val="04A0" w:firstRow="1" w:lastRow="0" w:firstColumn="1" w:lastColumn="0" w:noHBand="0" w:noVBand="1"/>
      </w:tblPr>
      <w:tblGrid>
        <w:gridCol w:w="1334"/>
        <w:gridCol w:w="9097"/>
        <w:gridCol w:w="798"/>
      </w:tblGrid>
      <w:tr w:rsidR="00936D23" w:rsidTr="00CD5B3C">
        <w:trPr>
          <w:trHeight w:val="495"/>
          <w:jc w:val="center"/>
        </w:trPr>
        <w:tc>
          <w:tcPr>
            <w:tcW w:w="11229" w:type="dxa"/>
            <w:gridSpan w:val="3"/>
            <w:tcBorders>
              <w:bottom w:val="single" w:sz="8" w:space="0" w:color="008000"/>
            </w:tcBorders>
            <w:shd w:val="clear" w:color="auto" w:fill="auto"/>
            <w:vAlign w:val="center"/>
          </w:tcPr>
          <w:p w:rsidR="00936D23" w:rsidRDefault="00EC3C50">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白带常规分析仪</w:t>
            </w:r>
          </w:p>
        </w:tc>
      </w:tr>
      <w:tr w:rsidR="00936D23"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097"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097"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097"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9B5A86">
        <w:trPr>
          <w:trHeight w:val="35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097" w:type="dxa"/>
            <w:tcBorders>
              <w:top w:val="nil"/>
              <w:left w:val="nil"/>
              <w:bottom w:val="single" w:sz="8" w:space="0" w:color="008000"/>
              <w:right w:val="single" w:sz="8" w:space="0" w:color="008000"/>
            </w:tcBorders>
            <w:shd w:val="clear" w:color="auto" w:fill="auto"/>
            <w:vAlign w:val="center"/>
          </w:tcPr>
          <w:p w:rsidR="001E18E3" w:rsidRPr="008824FD" w:rsidRDefault="001E18E3" w:rsidP="0095653B">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097" w:type="dxa"/>
            <w:tcBorders>
              <w:top w:val="nil"/>
              <w:left w:val="nil"/>
              <w:bottom w:val="single" w:sz="8" w:space="0" w:color="008000"/>
              <w:right w:val="single" w:sz="8" w:space="0" w:color="008000"/>
            </w:tcBorders>
            <w:shd w:val="clear" w:color="auto" w:fill="auto"/>
            <w:vAlign w:val="center"/>
          </w:tcPr>
          <w:p w:rsidR="00492A26" w:rsidRPr="008824FD"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rsidR="00492A26" w:rsidRDefault="00492A26"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097" w:type="dxa"/>
            <w:tcBorders>
              <w:top w:val="nil"/>
              <w:left w:val="nil"/>
              <w:bottom w:val="single" w:sz="8" w:space="0" w:color="008000"/>
              <w:right w:val="single" w:sz="8" w:space="0" w:color="008000"/>
            </w:tcBorders>
            <w:shd w:val="clear" w:color="auto" w:fill="auto"/>
            <w:vAlign w:val="center"/>
          </w:tcPr>
          <w:p w:rsidR="00492A26" w:rsidRPr="00132495"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rsidR="00492A26" w:rsidRPr="00132495" w:rsidRDefault="00492A26" w:rsidP="003D784C">
            <w:pPr>
              <w:widowControl/>
              <w:adjustRightInd w:val="0"/>
              <w:snapToGrid w:val="0"/>
              <w:spacing w:line="24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BF5E68"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BF5E68" w:rsidRDefault="00BF5E6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097" w:type="dxa"/>
            <w:tcBorders>
              <w:top w:val="nil"/>
              <w:left w:val="nil"/>
              <w:bottom w:val="single" w:sz="8" w:space="0" w:color="008000"/>
              <w:right w:val="single" w:sz="8" w:space="0" w:color="008000"/>
            </w:tcBorders>
            <w:shd w:val="clear" w:color="auto" w:fill="auto"/>
            <w:vAlign w:val="center"/>
          </w:tcPr>
          <w:p w:rsidR="00BF5E68" w:rsidRPr="00132495" w:rsidRDefault="00BF5E68" w:rsidP="003D784C">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属于计量器具的，提供计量首</w:t>
            </w:r>
            <w:proofErr w:type="gramStart"/>
            <w:r>
              <w:rPr>
                <w:rFonts w:ascii="仿宋_GB2312" w:eastAsia="仿宋_GB2312" w:hAnsi="宋体" w:cs="宋体" w:hint="eastAsia"/>
                <w:kern w:val="0"/>
                <w:sz w:val="28"/>
                <w:szCs w:val="28"/>
              </w:rPr>
              <w:t>检证明</w:t>
            </w:r>
            <w:proofErr w:type="gramEnd"/>
          </w:p>
        </w:tc>
        <w:tc>
          <w:tcPr>
            <w:tcW w:w="798" w:type="dxa"/>
            <w:tcBorders>
              <w:top w:val="nil"/>
              <w:left w:val="nil"/>
              <w:bottom w:val="single" w:sz="8" w:space="0" w:color="008000"/>
              <w:right w:val="single" w:sz="8" w:space="0" w:color="008000"/>
            </w:tcBorders>
            <w:shd w:val="clear" w:color="auto" w:fill="auto"/>
            <w:vAlign w:val="center"/>
          </w:tcPr>
          <w:p w:rsidR="00BF5E68" w:rsidRPr="00132495" w:rsidRDefault="00BF5E68"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提供</w:t>
            </w:r>
          </w:p>
        </w:tc>
      </w:tr>
      <w:tr w:rsidR="00492A26"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92A26" w:rsidRDefault="00BF5E6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097" w:type="dxa"/>
            <w:tcBorders>
              <w:top w:val="nil"/>
              <w:left w:val="nil"/>
              <w:bottom w:val="single" w:sz="8" w:space="0" w:color="008000"/>
              <w:right w:val="single" w:sz="8" w:space="0" w:color="008000"/>
            </w:tcBorders>
            <w:shd w:val="clear" w:color="auto" w:fill="auto"/>
            <w:vAlign w:val="center"/>
          </w:tcPr>
          <w:p w:rsidR="00492A26" w:rsidRPr="00132495"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rsidR="00492A26" w:rsidRPr="00132495" w:rsidRDefault="00492A26"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Pr="00132495">
              <w:rPr>
                <w:rFonts w:ascii="仿宋_GB2312" w:eastAsia="仿宋_GB2312" w:hAnsi="宋体" w:cs="宋体" w:hint="eastAsia"/>
                <w:kern w:val="0"/>
                <w:sz w:val="28"/>
                <w:szCs w:val="28"/>
              </w:rPr>
              <w:t>台</w:t>
            </w:r>
          </w:p>
        </w:tc>
      </w:tr>
      <w:tr w:rsidR="00492A26" w:rsidTr="009B5A86">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097" w:type="dxa"/>
            <w:tcBorders>
              <w:top w:val="nil"/>
              <w:left w:val="nil"/>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798" w:type="dxa"/>
            <w:tcBorders>
              <w:top w:val="nil"/>
              <w:left w:val="nil"/>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1</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检测速度：标本检测速度</w:t>
            </w:r>
            <w:r w:rsidRPr="00EC3C50">
              <w:rPr>
                <w:rFonts w:ascii="仿宋_GB2312" w:eastAsia="仿宋_GB2312" w:hAnsi="宋体" w:cs="宋体"/>
                <w:bCs/>
                <w:kern w:val="0"/>
                <w:sz w:val="28"/>
                <w:szCs w:val="28"/>
              </w:rPr>
              <w:t>≥</w:t>
            </w:r>
            <w:r w:rsidRPr="00EC3C50">
              <w:rPr>
                <w:rFonts w:ascii="仿宋_GB2312" w:eastAsia="仿宋_GB2312" w:hAnsi="宋体" w:cs="宋体"/>
                <w:bCs/>
                <w:kern w:val="0"/>
                <w:sz w:val="28"/>
                <w:szCs w:val="28"/>
              </w:rPr>
              <w:t>60样本/h，具备急诊标本添加功能</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2</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13525E" w:rsidP="00EC3C50">
            <w:pPr>
              <w:widowControl/>
              <w:adjustRightInd w:val="0"/>
              <w:snapToGrid w:val="0"/>
              <w:jc w:val="left"/>
              <w:rPr>
                <w:rFonts w:ascii="仿宋_GB2312" w:eastAsia="仿宋_GB2312" w:hAnsi="宋体" w:cs="宋体"/>
                <w:bCs/>
                <w:kern w:val="0"/>
                <w:sz w:val="28"/>
                <w:szCs w:val="28"/>
              </w:rPr>
            </w:pPr>
            <w:r>
              <w:rPr>
                <w:rFonts w:ascii="仿宋_GB2312" w:eastAsia="仿宋_GB2312" w:hAnsi="宋体" w:cs="宋体"/>
                <w:bCs/>
                <w:kern w:val="0"/>
                <w:sz w:val="28"/>
                <w:szCs w:val="28"/>
              </w:rPr>
              <w:t>对标本进行干化学和形态学检测。干化学检测</w:t>
            </w:r>
            <w:r w:rsidR="00EC3C50" w:rsidRPr="00EC3C50">
              <w:rPr>
                <w:rFonts w:ascii="仿宋_GB2312" w:eastAsia="仿宋_GB2312" w:hAnsi="宋体" w:cs="宋体"/>
                <w:bCs/>
                <w:kern w:val="0"/>
                <w:sz w:val="28"/>
                <w:szCs w:val="28"/>
              </w:rPr>
              <w:t>至少包括酸碱度（PH）、过氧化氢、</w:t>
            </w:r>
            <w:r w:rsidR="00EC3C50" w:rsidRPr="00EC3C50">
              <w:rPr>
                <w:rFonts w:ascii="仿宋_GB2312" w:eastAsia="仿宋_GB2312" w:hAnsi="宋体" w:cs="宋体"/>
                <w:bCs/>
                <w:kern w:val="0"/>
                <w:sz w:val="28"/>
                <w:szCs w:val="28"/>
              </w:rPr>
              <w:t>β</w:t>
            </w:r>
            <w:r w:rsidR="00EC3C50" w:rsidRPr="00EC3C50">
              <w:rPr>
                <w:rFonts w:ascii="仿宋_GB2312" w:eastAsia="仿宋_GB2312" w:hAnsi="宋体" w:cs="宋体"/>
                <w:bCs/>
                <w:kern w:val="0"/>
                <w:sz w:val="28"/>
                <w:szCs w:val="28"/>
              </w:rPr>
              <w:t>-</w:t>
            </w:r>
            <w:r>
              <w:rPr>
                <w:rFonts w:ascii="仿宋_GB2312" w:eastAsia="仿宋_GB2312" w:hAnsi="宋体" w:cs="宋体"/>
                <w:bCs/>
                <w:kern w:val="0"/>
                <w:sz w:val="28"/>
                <w:szCs w:val="28"/>
              </w:rPr>
              <w:t>葡萄糖醛酸</w:t>
            </w:r>
            <w:proofErr w:type="gramStart"/>
            <w:r>
              <w:rPr>
                <w:rFonts w:ascii="仿宋_GB2312" w:eastAsia="仿宋_GB2312" w:hAnsi="宋体" w:cs="宋体"/>
                <w:bCs/>
                <w:kern w:val="0"/>
                <w:sz w:val="28"/>
                <w:szCs w:val="28"/>
              </w:rPr>
              <w:t>苷</w:t>
            </w:r>
            <w:proofErr w:type="gramEnd"/>
            <w:r>
              <w:rPr>
                <w:rFonts w:ascii="仿宋_GB2312" w:eastAsia="仿宋_GB2312" w:hAnsi="宋体" w:cs="宋体"/>
                <w:bCs/>
                <w:kern w:val="0"/>
                <w:sz w:val="28"/>
                <w:szCs w:val="28"/>
              </w:rPr>
              <w:t>酶、白细胞酯酶、唾液酸苷酶；形态学检测</w:t>
            </w:r>
            <w:r w:rsidR="00EC3C50" w:rsidRPr="00EC3C50">
              <w:rPr>
                <w:rFonts w:ascii="仿宋_GB2312" w:eastAsia="仿宋_GB2312" w:hAnsi="宋体" w:cs="宋体"/>
                <w:bCs/>
                <w:kern w:val="0"/>
                <w:sz w:val="28"/>
                <w:szCs w:val="28"/>
              </w:rPr>
              <w:t>包括白细胞、红细胞、上皮细胞（包括线索细胞）、杆菌、霉菌、滴虫</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3</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13525E" w:rsidP="0013525E">
            <w:pPr>
              <w:widowControl/>
              <w:adjustRightInd w:val="0"/>
              <w:snapToGrid w:val="0"/>
              <w:jc w:val="left"/>
              <w:rPr>
                <w:rFonts w:ascii="仿宋_GB2312" w:eastAsia="仿宋_GB2312" w:hAnsi="宋体" w:cs="宋体"/>
                <w:bCs/>
                <w:kern w:val="0"/>
                <w:sz w:val="28"/>
                <w:szCs w:val="28"/>
              </w:rPr>
            </w:pPr>
            <w:r>
              <w:rPr>
                <w:rFonts w:ascii="仿宋_GB2312" w:eastAsia="仿宋_GB2312" w:hAnsi="宋体" w:cs="宋体"/>
                <w:bCs/>
                <w:kern w:val="0"/>
                <w:sz w:val="28"/>
                <w:szCs w:val="28"/>
              </w:rPr>
              <w:t>形态学检测</w:t>
            </w:r>
            <w:r w:rsidR="00EC3C50" w:rsidRPr="00EC3C50">
              <w:rPr>
                <w:rFonts w:ascii="仿宋_GB2312" w:eastAsia="仿宋_GB2312" w:hAnsi="宋体" w:cs="宋体"/>
                <w:bCs/>
                <w:kern w:val="0"/>
                <w:sz w:val="28"/>
                <w:szCs w:val="28"/>
              </w:rPr>
              <w:t>有染色步骤</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4</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EC3C50" w:rsidP="0013525E">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干化学和形态学检测结果</w:t>
            </w:r>
            <w:r w:rsidR="0013525E">
              <w:rPr>
                <w:rFonts w:ascii="仿宋_GB2312" w:eastAsia="仿宋_GB2312" w:hAnsi="宋体" w:cs="宋体"/>
                <w:bCs/>
                <w:kern w:val="0"/>
                <w:sz w:val="28"/>
                <w:szCs w:val="28"/>
              </w:rPr>
              <w:t>自动判读，也可选择人工判读。结果</w:t>
            </w:r>
            <w:r w:rsidRPr="00EC3C50">
              <w:rPr>
                <w:rFonts w:ascii="仿宋_GB2312" w:eastAsia="仿宋_GB2312" w:hAnsi="宋体" w:cs="宋体"/>
                <w:bCs/>
                <w:kern w:val="0"/>
                <w:sz w:val="28"/>
                <w:szCs w:val="28"/>
              </w:rPr>
              <w:t>自动传输至LIS系统，出具图文报告</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5</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EC3C50" w:rsidP="0013525E">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形态学分析软件配备有细胞标准图库和病原体标准图库</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6</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一次可放置</w:t>
            </w:r>
            <w:r w:rsidRPr="00EC3C50">
              <w:rPr>
                <w:rFonts w:ascii="仿宋_GB2312" w:eastAsia="仿宋_GB2312" w:hAnsi="宋体" w:cs="宋体"/>
                <w:bCs/>
                <w:kern w:val="0"/>
                <w:sz w:val="28"/>
                <w:szCs w:val="28"/>
              </w:rPr>
              <w:t>≥</w:t>
            </w:r>
            <w:r w:rsidRPr="00EC3C50">
              <w:rPr>
                <w:rFonts w:ascii="仿宋_GB2312" w:eastAsia="仿宋_GB2312" w:hAnsi="宋体" w:cs="宋体"/>
                <w:bCs/>
                <w:kern w:val="0"/>
                <w:sz w:val="28"/>
                <w:szCs w:val="28"/>
              </w:rPr>
              <w:t>50个样本，自动进样检测</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7</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282832" w:rsidP="00282832">
            <w:pPr>
              <w:widowControl/>
              <w:adjustRightInd w:val="0"/>
              <w:snapToGrid w:val="0"/>
              <w:jc w:val="left"/>
              <w:rPr>
                <w:rFonts w:ascii="仿宋_GB2312" w:eastAsia="仿宋_GB2312" w:hAnsi="宋体" w:cs="宋体"/>
                <w:bCs/>
                <w:kern w:val="0"/>
                <w:sz w:val="28"/>
                <w:szCs w:val="28"/>
              </w:rPr>
            </w:pPr>
            <w:r>
              <w:rPr>
                <w:rFonts w:ascii="仿宋_GB2312" w:eastAsia="仿宋_GB2312" w:hAnsi="宋体" w:cs="宋体"/>
                <w:bCs/>
                <w:kern w:val="0"/>
                <w:sz w:val="28"/>
                <w:szCs w:val="28"/>
              </w:rPr>
              <w:t>检测过程封闭</w:t>
            </w:r>
            <w:r w:rsidR="00EC3C50" w:rsidRPr="00EC3C50">
              <w:rPr>
                <w:rFonts w:ascii="仿宋_GB2312" w:eastAsia="仿宋_GB2312" w:hAnsi="宋体" w:cs="宋体"/>
                <w:bCs/>
                <w:kern w:val="0"/>
                <w:sz w:val="28"/>
                <w:szCs w:val="28"/>
              </w:rPr>
              <w:t>进行</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8</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配套</w:t>
            </w:r>
            <w:proofErr w:type="gramStart"/>
            <w:r w:rsidRPr="00EC3C50">
              <w:rPr>
                <w:rFonts w:ascii="仿宋_GB2312" w:eastAsia="仿宋_GB2312" w:hAnsi="宋体" w:cs="宋体"/>
                <w:bCs/>
                <w:kern w:val="0"/>
                <w:sz w:val="28"/>
                <w:szCs w:val="28"/>
              </w:rPr>
              <w:t>质控品</w:t>
            </w:r>
            <w:proofErr w:type="gramEnd"/>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center"/>
              <w:rPr>
                <w:rFonts w:ascii="仿宋_GB2312" w:eastAsia="仿宋_GB2312" w:hAnsi="宋体" w:cs="宋体"/>
                <w:bCs/>
                <w:kern w:val="0"/>
                <w:sz w:val="28"/>
                <w:szCs w:val="28"/>
              </w:rPr>
            </w:pPr>
            <w:r w:rsidRPr="00EC3C50">
              <w:rPr>
                <w:rFonts w:ascii="仿宋_GB2312" w:eastAsia="仿宋_GB2312" w:hAnsi="宋体" w:cs="宋体"/>
                <w:bCs/>
                <w:kern w:val="0"/>
                <w:sz w:val="28"/>
                <w:szCs w:val="28"/>
              </w:rPr>
              <w:t>9</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EC3C50" w:rsidP="00282832">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无影光源</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具备</w:t>
            </w:r>
          </w:p>
        </w:tc>
      </w:tr>
      <w:tr w:rsidR="00EC3C50" w:rsidTr="000E241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EC3C50" w:rsidRPr="00EC3C50" w:rsidRDefault="000C72C3" w:rsidP="00EC3C50">
            <w:pPr>
              <w:widowControl/>
              <w:adjustRightInd w:val="0"/>
              <w:snapToGrid w:val="0"/>
              <w:jc w:val="center"/>
              <w:rPr>
                <w:rFonts w:ascii="仿宋_GB2312" w:eastAsia="仿宋_GB2312" w:hAnsi="宋体" w:cs="宋体"/>
                <w:bCs/>
                <w:kern w:val="0"/>
                <w:sz w:val="28"/>
                <w:szCs w:val="28"/>
              </w:rPr>
            </w:pPr>
            <w:r>
              <w:rPr>
                <w:rFonts w:ascii="仿宋_GB2312" w:eastAsia="仿宋_GB2312" w:hAnsi="宋体" w:cs="宋体" w:hint="eastAsia"/>
                <w:kern w:val="0"/>
                <w:sz w:val="28"/>
                <w:szCs w:val="28"/>
              </w:rPr>
              <w:t>★</w:t>
            </w:r>
            <w:r w:rsidR="00EC3C50" w:rsidRPr="00EC3C50">
              <w:rPr>
                <w:rFonts w:ascii="仿宋_GB2312" w:eastAsia="仿宋_GB2312" w:hAnsi="宋体" w:cs="宋体"/>
                <w:bCs/>
                <w:kern w:val="0"/>
                <w:sz w:val="28"/>
                <w:szCs w:val="28"/>
              </w:rPr>
              <w:t>10</w:t>
            </w:r>
          </w:p>
        </w:tc>
        <w:tc>
          <w:tcPr>
            <w:tcW w:w="9097"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提供妇科涂片联检检测项目所需全部试剂名称、</w:t>
            </w:r>
            <w:r w:rsidR="00BF5E68">
              <w:rPr>
                <w:rFonts w:ascii="仿宋_GB2312" w:eastAsia="仿宋_GB2312" w:hAnsi="宋体" w:cs="宋体" w:hint="eastAsia"/>
                <w:bCs/>
                <w:kern w:val="0"/>
                <w:sz w:val="28"/>
                <w:szCs w:val="28"/>
              </w:rPr>
              <w:t>品牌、</w:t>
            </w:r>
            <w:r w:rsidRPr="00EC3C50">
              <w:rPr>
                <w:rFonts w:ascii="仿宋_GB2312" w:eastAsia="仿宋_GB2312" w:hAnsi="宋体" w:cs="宋体"/>
                <w:bCs/>
                <w:kern w:val="0"/>
                <w:sz w:val="28"/>
                <w:szCs w:val="28"/>
              </w:rPr>
              <w:t>规格型号、每人份试剂用量及每人份价格（如一个检测项目需要使用多种检测试剂的，须将每种试剂</w:t>
            </w:r>
            <w:proofErr w:type="gramStart"/>
            <w:r w:rsidRPr="00EC3C50">
              <w:rPr>
                <w:rFonts w:ascii="仿宋_GB2312" w:eastAsia="仿宋_GB2312" w:hAnsi="宋体" w:cs="宋体"/>
                <w:bCs/>
                <w:kern w:val="0"/>
                <w:sz w:val="28"/>
                <w:szCs w:val="28"/>
              </w:rPr>
              <w:t>一一</w:t>
            </w:r>
            <w:proofErr w:type="gramEnd"/>
            <w:r w:rsidRPr="00EC3C50">
              <w:rPr>
                <w:rFonts w:ascii="仿宋_GB2312" w:eastAsia="仿宋_GB2312" w:hAnsi="宋体" w:cs="宋体"/>
                <w:bCs/>
                <w:kern w:val="0"/>
                <w:sz w:val="28"/>
                <w:szCs w:val="28"/>
              </w:rPr>
              <w:t>列明）</w:t>
            </w:r>
          </w:p>
        </w:tc>
        <w:tc>
          <w:tcPr>
            <w:tcW w:w="798" w:type="dxa"/>
            <w:tcBorders>
              <w:top w:val="nil"/>
              <w:left w:val="nil"/>
              <w:bottom w:val="single" w:sz="8" w:space="0" w:color="008000"/>
              <w:right w:val="single" w:sz="8" w:space="0" w:color="008000"/>
            </w:tcBorders>
            <w:shd w:val="clear" w:color="auto" w:fill="auto"/>
            <w:vAlign w:val="center"/>
          </w:tcPr>
          <w:p w:rsidR="00EC3C50" w:rsidRPr="00EC3C50" w:rsidRDefault="00EC3C50" w:rsidP="00EC3C50">
            <w:pPr>
              <w:widowControl/>
              <w:adjustRightInd w:val="0"/>
              <w:snapToGrid w:val="0"/>
              <w:jc w:val="left"/>
              <w:rPr>
                <w:rFonts w:ascii="仿宋_GB2312" w:eastAsia="仿宋_GB2312" w:hAnsi="宋体" w:cs="宋体"/>
                <w:bCs/>
                <w:kern w:val="0"/>
                <w:sz w:val="28"/>
                <w:szCs w:val="28"/>
              </w:rPr>
            </w:pPr>
            <w:r w:rsidRPr="00EC3C50">
              <w:rPr>
                <w:rFonts w:ascii="仿宋_GB2312" w:eastAsia="仿宋_GB2312" w:hAnsi="宋体" w:cs="宋体"/>
                <w:bCs/>
                <w:kern w:val="0"/>
                <w:sz w:val="28"/>
                <w:szCs w:val="28"/>
              </w:rPr>
              <w:t>提供</w:t>
            </w:r>
          </w:p>
        </w:tc>
      </w:tr>
      <w:tr w:rsidR="004C221D" w:rsidTr="00C77F7F">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Pr="001159DD" w:rsidRDefault="00EC3C50" w:rsidP="00CA617B">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9097" w:type="dxa"/>
            <w:tcBorders>
              <w:top w:val="nil"/>
              <w:left w:val="nil"/>
              <w:bottom w:val="single" w:sz="8" w:space="0" w:color="008000"/>
              <w:right w:val="single" w:sz="8" w:space="0" w:color="008000"/>
            </w:tcBorders>
            <w:shd w:val="clear" w:color="auto" w:fill="auto"/>
            <w:vAlign w:val="center"/>
          </w:tcPr>
          <w:p w:rsidR="004C221D" w:rsidRPr="009169B1" w:rsidRDefault="004C221D" w:rsidP="00B54F1D">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w:t>
            </w:r>
            <w:r>
              <w:rPr>
                <w:rFonts w:ascii="仿宋_GB2312" w:eastAsia="仿宋_GB2312" w:hAnsi="宋体" w:cs="宋体" w:hint="eastAsia"/>
                <w:bCs/>
                <w:kern w:val="0"/>
                <w:sz w:val="28"/>
                <w:szCs w:val="28"/>
              </w:rPr>
              <w:t>品牌、</w:t>
            </w:r>
            <w:r w:rsidR="000C72C3">
              <w:rPr>
                <w:rFonts w:ascii="仿宋_GB2312" w:eastAsia="仿宋_GB2312" w:hAnsi="宋体" w:cs="宋体" w:hint="eastAsia"/>
                <w:bCs/>
                <w:kern w:val="0"/>
                <w:sz w:val="28"/>
                <w:szCs w:val="28"/>
              </w:rPr>
              <w:t>规格</w:t>
            </w:r>
            <w:r w:rsidRPr="009169B1">
              <w:rPr>
                <w:rFonts w:ascii="仿宋_GB2312" w:eastAsia="仿宋_GB2312" w:hAnsi="宋体" w:cs="宋体" w:hint="eastAsia"/>
                <w:bCs/>
                <w:kern w:val="0"/>
                <w:sz w:val="28"/>
                <w:szCs w:val="28"/>
              </w:rPr>
              <w:t>型号、数量、单价)</w:t>
            </w:r>
          </w:p>
        </w:tc>
        <w:tc>
          <w:tcPr>
            <w:tcW w:w="798" w:type="dxa"/>
            <w:tcBorders>
              <w:top w:val="nil"/>
              <w:left w:val="nil"/>
              <w:bottom w:val="single" w:sz="8" w:space="0" w:color="008000"/>
              <w:right w:val="single" w:sz="8" w:space="0" w:color="008000"/>
            </w:tcBorders>
            <w:shd w:val="clear" w:color="auto" w:fill="auto"/>
          </w:tcPr>
          <w:p w:rsidR="004C221D" w:rsidRPr="004F3EE8" w:rsidRDefault="004C221D" w:rsidP="004F3EE8">
            <w:pPr>
              <w:widowControl/>
              <w:adjustRightInd w:val="0"/>
              <w:snapToGrid w:val="0"/>
              <w:spacing w:line="240" w:lineRule="atLeast"/>
              <w:jc w:val="left"/>
              <w:rPr>
                <w:rFonts w:ascii="仿宋_GB2312" w:eastAsia="仿宋_GB2312" w:hAnsi="宋体" w:cs="宋体"/>
                <w:kern w:val="0"/>
                <w:sz w:val="28"/>
                <w:szCs w:val="28"/>
              </w:rPr>
            </w:pPr>
            <w:r w:rsidRPr="00D4489D">
              <w:rPr>
                <w:rFonts w:ascii="仿宋_GB2312" w:eastAsia="仿宋_GB2312" w:hAnsi="宋体" w:cs="宋体" w:hint="eastAsia"/>
                <w:kern w:val="0"/>
                <w:sz w:val="28"/>
                <w:szCs w:val="28"/>
              </w:rPr>
              <w:t>具备</w:t>
            </w:r>
          </w:p>
        </w:tc>
      </w:tr>
      <w:tr w:rsidR="004C221D" w:rsidTr="00C77F7F">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Pr="00EF2180" w:rsidRDefault="00EC3C50" w:rsidP="00CA617B">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9097" w:type="dxa"/>
            <w:tcBorders>
              <w:top w:val="nil"/>
              <w:left w:val="nil"/>
              <w:bottom w:val="single" w:sz="8" w:space="0" w:color="008000"/>
              <w:right w:val="single" w:sz="8" w:space="0" w:color="008000"/>
            </w:tcBorders>
            <w:shd w:val="clear" w:color="auto" w:fill="auto"/>
            <w:vAlign w:val="center"/>
          </w:tcPr>
          <w:p w:rsidR="004C221D" w:rsidRPr="009169B1" w:rsidRDefault="004C221D" w:rsidP="000C72C3">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w:t>
            </w:r>
            <w:r>
              <w:rPr>
                <w:rFonts w:ascii="仿宋_GB2312" w:eastAsia="仿宋_GB2312" w:hAnsi="宋体" w:cs="宋体" w:hint="eastAsia"/>
                <w:bCs/>
                <w:kern w:val="0"/>
                <w:sz w:val="28"/>
                <w:szCs w:val="28"/>
              </w:rPr>
              <w:t>品牌、</w:t>
            </w:r>
            <w:r w:rsidR="000C72C3">
              <w:rPr>
                <w:rFonts w:ascii="仿宋_GB2312" w:eastAsia="仿宋_GB2312" w:hAnsi="宋体" w:cs="宋体" w:hint="eastAsia"/>
                <w:bCs/>
                <w:kern w:val="0"/>
                <w:sz w:val="28"/>
                <w:szCs w:val="28"/>
              </w:rPr>
              <w:t>规格</w:t>
            </w:r>
            <w:r w:rsidRPr="009169B1">
              <w:rPr>
                <w:rFonts w:ascii="仿宋_GB2312" w:eastAsia="仿宋_GB2312" w:hAnsi="宋体" w:cs="宋体" w:hint="eastAsia"/>
                <w:bCs/>
                <w:kern w:val="0"/>
                <w:sz w:val="28"/>
                <w:szCs w:val="28"/>
              </w:rPr>
              <w:t>型号、单价)</w:t>
            </w:r>
          </w:p>
        </w:tc>
        <w:tc>
          <w:tcPr>
            <w:tcW w:w="798" w:type="dxa"/>
            <w:tcBorders>
              <w:top w:val="nil"/>
              <w:left w:val="nil"/>
              <w:bottom w:val="single" w:sz="8" w:space="0" w:color="008000"/>
              <w:right w:val="single" w:sz="8" w:space="0" w:color="008000"/>
            </w:tcBorders>
            <w:shd w:val="clear" w:color="auto" w:fill="auto"/>
          </w:tcPr>
          <w:p w:rsidR="004C221D" w:rsidRPr="004F3EE8" w:rsidRDefault="004C221D" w:rsidP="004F3EE8">
            <w:pPr>
              <w:widowControl/>
              <w:adjustRightInd w:val="0"/>
              <w:snapToGrid w:val="0"/>
              <w:spacing w:line="240" w:lineRule="atLeast"/>
              <w:jc w:val="left"/>
              <w:rPr>
                <w:rFonts w:ascii="仿宋_GB2312" w:eastAsia="仿宋_GB2312" w:hAnsi="宋体" w:cs="宋体"/>
                <w:kern w:val="0"/>
                <w:sz w:val="28"/>
                <w:szCs w:val="28"/>
              </w:rPr>
            </w:pPr>
            <w:r w:rsidRPr="00D4489D">
              <w:rPr>
                <w:rFonts w:ascii="仿宋_GB2312" w:eastAsia="仿宋_GB2312" w:hAnsi="宋体" w:cs="宋体" w:hint="eastAsia"/>
                <w:kern w:val="0"/>
                <w:sz w:val="28"/>
                <w:szCs w:val="28"/>
              </w:rPr>
              <w:t>具备</w:t>
            </w:r>
          </w:p>
        </w:tc>
      </w:tr>
      <w:tr w:rsidR="004C221D"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097"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p>
        </w:tc>
      </w:tr>
      <w:tr w:rsidR="004C221D" w:rsidTr="009B5A86">
        <w:trPr>
          <w:trHeight w:val="374"/>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w:t>
            </w:r>
            <w:r>
              <w:rPr>
                <w:rFonts w:ascii="仿宋_GB2312" w:eastAsia="仿宋_GB2312" w:hAnsi="宋体" w:cs="宋体"/>
                <w:kern w:val="0"/>
                <w:sz w:val="28"/>
                <w:szCs w:val="28"/>
              </w:rPr>
              <w:t>1</w:t>
            </w:r>
          </w:p>
        </w:tc>
        <w:tc>
          <w:tcPr>
            <w:tcW w:w="9097" w:type="dxa"/>
            <w:tcBorders>
              <w:top w:val="nil"/>
              <w:left w:val="nil"/>
              <w:bottom w:val="single" w:sz="8" w:space="0" w:color="008000"/>
              <w:right w:val="single" w:sz="8" w:space="0" w:color="008000"/>
            </w:tcBorders>
            <w:shd w:val="clear" w:color="auto" w:fill="auto"/>
            <w:vAlign w:val="center"/>
          </w:tcPr>
          <w:p w:rsidR="004C221D" w:rsidRDefault="004C221D" w:rsidP="000C72C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sidR="000C72C3">
              <w:rPr>
                <w:rFonts w:ascii="仿宋_GB2312" w:eastAsia="仿宋_GB2312" w:hAnsi="宋体" w:cs="宋体" w:hint="eastAsia"/>
                <w:kern w:val="0"/>
                <w:sz w:val="28"/>
                <w:szCs w:val="28"/>
              </w:rPr>
              <w:t>6</w:t>
            </w:r>
            <w:r>
              <w:rPr>
                <w:rFonts w:ascii="仿宋_GB2312" w:eastAsia="仿宋_GB2312" w:hAnsi="宋体" w:cs="宋体"/>
                <w:kern w:val="0"/>
                <w:sz w:val="28"/>
                <w:szCs w:val="28"/>
              </w:rPr>
              <w:t>年（提供厂家保修承诺），在质保期内每年由维修工程师提供至少2次的上门维护保养工作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C221D" w:rsidTr="009B5A86">
        <w:trPr>
          <w:trHeight w:val="374"/>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097"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C221D" w:rsidTr="009B5A86">
        <w:trPr>
          <w:trHeight w:val="49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097"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798"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C221D" w:rsidTr="009B5A86">
        <w:trPr>
          <w:trHeight w:val="49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097" w:type="dxa"/>
            <w:tcBorders>
              <w:top w:val="nil"/>
              <w:left w:val="nil"/>
              <w:bottom w:val="single" w:sz="8" w:space="0" w:color="008000"/>
              <w:right w:val="single" w:sz="8" w:space="0" w:color="008000"/>
            </w:tcBorders>
            <w:shd w:val="clear" w:color="auto" w:fill="auto"/>
            <w:vAlign w:val="center"/>
          </w:tcPr>
          <w:p w:rsidR="004C221D" w:rsidRPr="00001E12" w:rsidRDefault="004C221D">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一个月内非人为质量问题提供换货。设备出现故障时</w:t>
            </w:r>
            <w:r w:rsidRPr="00001E12">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C221D" w:rsidTr="009B5A86">
        <w:trPr>
          <w:trHeight w:val="49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097" w:type="dxa"/>
            <w:tcBorders>
              <w:top w:val="nil"/>
              <w:left w:val="nil"/>
              <w:bottom w:val="single" w:sz="8" w:space="0" w:color="008000"/>
              <w:right w:val="single" w:sz="8" w:space="0" w:color="008000"/>
            </w:tcBorders>
            <w:shd w:val="clear" w:color="auto" w:fill="auto"/>
            <w:vAlign w:val="center"/>
          </w:tcPr>
          <w:p w:rsidR="004C221D" w:rsidRPr="00001E12" w:rsidRDefault="004C221D">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到货时间：合同签订后30日内</w:t>
            </w:r>
          </w:p>
        </w:tc>
        <w:tc>
          <w:tcPr>
            <w:tcW w:w="798" w:type="dxa"/>
            <w:tcBorders>
              <w:top w:val="nil"/>
              <w:left w:val="nil"/>
              <w:bottom w:val="single" w:sz="8" w:space="0" w:color="008000"/>
              <w:right w:val="single" w:sz="8" w:space="0" w:color="008000"/>
            </w:tcBorders>
            <w:shd w:val="clear" w:color="auto" w:fill="auto"/>
            <w:vAlign w:val="center"/>
          </w:tcPr>
          <w:p w:rsidR="004C221D" w:rsidRDefault="004C221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bl>
    <w:p w:rsidR="00936D23" w:rsidRDefault="00936D23">
      <w:pPr>
        <w:rPr>
          <w:rFonts w:eastAsia="仿宋_GB2312"/>
          <w:b/>
          <w:bCs/>
          <w:color w:val="FF0000"/>
          <w:sz w:val="28"/>
          <w:szCs w:val="28"/>
        </w:rPr>
      </w:pPr>
      <w:bookmarkStart w:id="0" w:name="_GoBack"/>
      <w:bookmarkEnd w:id="0"/>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91B" w:rsidRDefault="00E3291B" w:rsidP="00863368">
      <w:r>
        <w:separator/>
      </w:r>
    </w:p>
  </w:endnote>
  <w:endnote w:type="continuationSeparator" w:id="0">
    <w:p w:rsidR="00E3291B" w:rsidRDefault="00E3291B"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91B" w:rsidRDefault="00E3291B" w:rsidP="00863368">
      <w:r>
        <w:separator/>
      </w:r>
    </w:p>
  </w:footnote>
  <w:footnote w:type="continuationSeparator" w:id="0">
    <w:p w:rsidR="00E3291B" w:rsidRDefault="00E3291B"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05F71896"/>
    <w:multiLevelType w:val="singleLevel"/>
    <w:tmpl w:val="05F71896"/>
    <w:lvl w:ilvl="0">
      <w:start w:val="1"/>
      <w:numFmt w:val="decimal"/>
      <w:lvlText w:val="%1."/>
      <w:lvlJc w:val="left"/>
      <w:pPr>
        <w:ind w:left="425" w:hanging="425"/>
      </w:pPr>
      <w:rPr>
        <w:rFonts w:hint="default"/>
      </w:rPr>
    </w:lvl>
  </w:abstractNum>
  <w:abstractNum w:abstractNumId="2"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3" w15:restartNumberingAfterBreak="0">
    <w:nsid w:val="43B70B59"/>
    <w:multiLevelType w:val="multilevel"/>
    <w:tmpl w:val="43B70B59"/>
    <w:lvl w:ilvl="0">
      <w:start w:val="1"/>
      <w:numFmt w:val="decimal"/>
      <w:lvlText w:val="%1."/>
      <w:lvlJc w:val="left"/>
      <w:pPr>
        <w:ind w:left="420" w:hanging="420"/>
      </w:pPr>
    </w:lvl>
    <w:lvl w:ilvl="1">
      <w:start w:val="16"/>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9673DD"/>
    <w:multiLevelType w:val="hybridMultilevel"/>
    <w:tmpl w:val="CD56E76A"/>
    <w:lvl w:ilvl="0" w:tplc="6F14ADD8">
      <w:start w:val="25"/>
      <w:numFmt w:val="decimal"/>
      <w:lvlText w:val="%1．"/>
      <w:lvlJc w:val="left"/>
      <w:pPr>
        <w:ind w:left="440" w:hanging="440"/>
      </w:pPr>
      <w:rPr>
        <w:rFonts w:ascii="微软雅黑" w:eastAsia="微软雅黑" w:hAnsi="微软雅黑" w:cs="微软雅黑"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83543B"/>
    <w:multiLevelType w:val="hybridMultilevel"/>
    <w:tmpl w:val="436E4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77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01E12"/>
    <w:rsid w:val="00011272"/>
    <w:rsid w:val="00015622"/>
    <w:rsid w:val="000207E5"/>
    <w:rsid w:val="00025BCD"/>
    <w:rsid w:val="00026D3B"/>
    <w:rsid w:val="000335C3"/>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3ABB"/>
    <w:rsid w:val="00095770"/>
    <w:rsid w:val="000A29F5"/>
    <w:rsid w:val="000A4DA1"/>
    <w:rsid w:val="000A6735"/>
    <w:rsid w:val="000A711A"/>
    <w:rsid w:val="000B038D"/>
    <w:rsid w:val="000B1D3F"/>
    <w:rsid w:val="000B4977"/>
    <w:rsid w:val="000B571E"/>
    <w:rsid w:val="000C0482"/>
    <w:rsid w:val="000C3117"/>
    <w:rsid w:val="000C4501"/>
    <w:rsid w:val="000C5D35"/>
    <w:rsid w:val="000C6F88"/>
    <w:rsid w:val="000C72C3"/>
    <w:rsid w:val="000D5DD8"/>
    <w:rsid w:val="000D62C5"/>
    <w:rsid w:val="000E2236"/>
    <w:rsid w:val="000E4676"/>
    <w:rsid w:val="000F092C"/>
    <w:rsid w:val="000F5388"/>
    <w:rsid w:val="00102D93"/>
    <w:rsid w:val="00102E32"/>
    <w:rsid w:val="001038E9"/>
    <w:rsid w:val="00105530"/>
    <w:rsid w:val="00107C49"/>
    <w:rsid w:val="001109D9"/>
    <w:rsid w:val="001159DD"/>
    <w:rsid w:val="001167CD"/>
    <w:rsid w:val="00117E31"/>
    <w:rsid w:val="0012228D"/>
    <w:rsid w:val="001224EE"/>
    <w:rsid w:val="00122615"/>
    <w:rsid w:val="00123B51"/>
    <w:rsid w:val="00131A65"/>
    <w:rsid w:val="00132495"/>
    <w:rsid w:val="00132845"/>
    <w:rsid w:val="001330DB"/>
    <w:rsid w:val="0013525E"/>
    <w:rsid w:val="001357C7"/>
    <w:rsid w:val="00137FE7"/>
    <w:rsid w:val="001411C4"/>
    <w:rsid w:val="00143228"/>
    <w:rsid w:val="00151D4A"/>
    <w:rsid w:val="001535B5"/>
    <w:rsid w:val="0015364A"/>
    <w:rsid w:val="00164968"/>
    <w:rsid w:val="001753C2"/>
    <w:rsid w:val="001760E2"/>
    <w:rsid w:val="00176D74"/>
    <w:rsid w:val="00185A14"/>
    <w:rsid w:val="00187916"/>
    <w:rsid w:val="0018797D"/>
    <w:rsid w:val="00187E17"/>
    <w:rsid w:val="001A715E"/>
    <w:rsid w:val="001B0C60"/>
    <w:rsid w:val="001B6376"/>
    <w:rsid w:val="001D5322"/>
    <w:rsid w:val="001D7CC7"/>
    <w:rsid w:val="001E18E3"/>
    <w:rsid w:val="001E3C7E"/>
    <w:rsid w:val="001E406D"/>
    <w:rsid w:val="001E52DE"/>
    <w:rsid w:val="001F7A59"/>
    <w:rsid w:val="00204156"/>
    <w:rsid w:val="002157DA"/>
    <w:rsid w:val="00223A5C"/>
    <w:rsid w:val="00224811"/>
    <w:rsid w:val="00226D7F"/>
    <w:rsid w:val="00234394"/>
    <w:rsid w:val="002346A2"/>
    <w:rsid w:val="00235378"/>
    <w:rsid w:val="00243446"/>
    <w:rsid w:val="002451AF"/>
    <w:rsid w:val="00246ADF"/>
    <w:rsid w:val="00253A87"/>
    <w:rsid w:val="00261C54"/>
    <w:rsid w:val="00262A07"/>
    <w:rsid w:val="00264D78"/>
    <w:rsid w:val="00272590"/>
    <w:rsid w:val="002729A8"/>
    <w:rsid w:val="00281D6B"/>
    <w:rsid w:val="00282832"/>
    <w:rsid w:val="00283CC0"/>
    <w:rsid w:val="00286CF8"/>
    <w:rsid w:val="00287A79"/>
    <w:rsid w:val="00290005"/>
    <w:rsid w:val="00295EAD"/>
    <w:rsid w:val="0029766D"/>
    <w:rsid w:val="002A716B"/>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162A"/>
    <w:rsid w:val="002E22D6"/>
    <w:rsid w:val="002F03E8"/>
    <w:rsid w:val="002F1F1E"/>
    <w:rsid w:val="002F2348"/>
    <w:rsid w:val="002F4B35"/>
    <w:rsid w:val="002F791A"/>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43E7"/>
    <w:rsid w:val="00376731"/>
    <w:rsid w:val="00377A38"/>
    <w:rsid w:val="00381F2E"/>
    <w:rsid w:val="00390392"/>
    <w:rsid w:val="003944B2"/>
    <w:rsid w:val="00394F08"/>
    <w:rsid w:val="00395E72"/>
    <w:rsid w:val="003A452B"/>
    <w:rsid w:val="003B2762"/>
    <w:rsid w:val="003B4328"/>
    <w:rsid w:val="003B52CB"/>
    <w:rsid w:val="003B54C5"/>
    <w:rsid w:val="003B7CDE"/>
    <w:rsid w:val="003B7CE5"/>
    <w:rsid w:val="003C0C86"/>
    <w:rsid w:val="003C13DF"/>
    <w:rsid w:val="003C410B"/>
    <w:rsid w:val="003C43E1"/>
    <w:rsid w:val="003E7334"/>
    <w:rsid w:val="003F3C6D"/>
    <w:rsid w:val="003F795A"/>
    <w:rsid w:val="00400446"/>
    <w:rsid w:val="00400E55"/>
    <w:rsid w:val="004010A0"/>
    <w:rsid w:val="00405304"/>
    <w:rsid w:val="004074A4"/>
    <w:rsid w:val="0041241A"/>
    <w:rsid w:val="00412BCD"/>
    <w:rsid w:val="00417A2B"/>
    <w:rsid w:val="00420908"/>
    <w:rsid w:val="00423179"/>
    <w:rsid w:val="00425E1F"/>
    <w:rsid w:val="00431B44"/>
    <w:rsid w:val="00432EC7"/>
    <w:rsid w:val="0044409E"/>
    <w:rsid w:val="004450D3"/>
    <w:rsid w:val="00447B38"/>
    <w:rsid w:val="00450D5B"/>
    <w:rsid w:val="004610A0"/>
    <w:rsid w:val="00461473"/>
    <w:rsid w:val="00461E8C"/>
    <w:rsid w:val="0047056A"/>
    <w:rsid w:val="004727A2"/>
    <w:rsid w:val="00472AB4"/>
    <w:rsid w:val="0047533D"/>
    <w:rsid w:val="00475A21"/>
    <w:rsid w:val="00476D17"/>
    <w:rsid w:val="00480FC6"/>
    <w:rsid w:val="004840AB"/>
    <w:rsid w:val="004915CF"/>
    <w:rsid w:val="00491BB9"/>
    <w:rsid w:val="00492A26"/>
    <w:rsid w:val="00493121"/>
    <w:rsid w:val="004A021E"/>
    <w:rsid w:val="004A45E8"/>
    <w:rsid w:val="004A68A8"/>
    <w:rsid w:val="004A6D82"/>
    <w:rsid w:val="004A7A40"/>
    <w:rsid w:val="004B57B7"/>
    <w:rsid w:val="004B5DD4"/>
    <w:rsid w:val="004C221D"/>
    <w:rsid w:val="004C46E0"/>
    <w:rsid w:val="004C54BB"/>
    <w:rsid w:val="004C5B77"/>
    <w:rsid w:val="004C7E9E"/>
    <w:rsid w:val="004D16A1"/>
    <w:rsid w:val="004D3F00"/>
    <w:rsid w:val="004D3F0E"/>
    <w:rsid w:val="004F1F15"/>
    <w:rsid w:val="004F3EE8"/>
    <w:rsid w:val="004F703B"/>
    <w:rsid w:val="004F732D"/>
    <w:rsid w:val="00504B93"/>
    <w:rsid w:val="00517A3B"/>
    <w:rsid w:val="00522451"/>
    <w:rsid w:val="0052412A"/>
    <w:rsid w:val="00527191"/>
    <w:rsid w:val="00527C3C"/>
    <w:rsid w:val="0054290E"/>
    <w:rsid w:val="00544A5E"/>
    <w:rsid w:val="00545E72"/>
    <w:rsid w:val="0055726D"/>
    <w:rsid w:val="005613B3"/>
    <w:rsid w:val="005618FE"/>
    <w:rsid w:val="00561B94"/>
    <w:rsid w:val="00564F5B"/>
    <w:rsid w:val="00564FDB"/>
    <w:rsid w:val="00573165"/>
    <w:rsid w:val="00576A08"/>
    <w:rsid w:val="00584B64"/>
    <w:rsid w:val="00597A95"/>
    <w:rsid w:val="005A4656"/>
    <w:rsid w:val="005B01E8"/>
    <w:rsid w:val="005B20B8"/>
    <w:rsid w:val="005B5E65"/>
    <w:rsid w:val="005C206B"/>
    <w:rsid w:val="005C2164"/>
    <w:rsid w:val="005C3FDE"/>
    <w:rsid w:val="005C49CC"/>
    <w:rsid w:val="005C49EF"/>
    <w:rsid w:val="005D07D9"/>
    <w:rsid w:val="005D43D3"/>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3F41"/>
    <w:rsid w:val="00616A9D"/>
    <w:rsid w:val="0062147B"/>
    <w:rsid w:val="00624A3D"/>
    <w:rsid w:val="00640797"/>
    <w:rsid w:val="00642E61"/>
    <w:rsid w:val="006441E0"/>
    <w:rsid w:val="0064700E"/>
    <w:rsid w:val="006473ED"/>
    <w:rsid w:val="00654F4F"/>
    <w:rsid w:val="00660C31"/>
    <w:rsid w:val="006623AF"/>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5052"/>
    <w:rsid w:val="006A6A4F"/>
    <w:rsid w:val="006A7D44"/>
    <w:rsid w:val="006B2DE3"/>
    <w:rsid w:val="006B76E5"/>
    <w:rsid w:val="006B7B28"/>
    <w:rsid w:val="006C01F0"/>
    <w:rsid w:val="006C6BEB"/>
    <w:rsid w:val="006D53A9"/>
    <w:rsid w:val="006D6296"/>
    <w:rsid w:val="006E3FB2"/>
    <w:rsid w:val="006E5434"/>
    <w:rsid w:val="006E5A4F"/>
    <w:rsid w:val="006F3E49"/>
    <w:rsid w:val="00705251"/>
    <w:rsid w:val="00705D96"/>
    <w:rsid w:val="00713738"/>
    <w:rsid w:val="007174B4"/>
    <w:rsid w:val="0072318F"/>
    <w:rsid w:val="007258F7"/>
    <w:rsid w:val="007274B4"/>
    <w:rsid w:val="00730216"/>
    <w:rsid w:val="0073423B"/>
    <w:rsid w:val="00747F55"/>
    <w:rsid w:val="007520E1"/>
    <w:rsid w:val="007523C8"/>
    <w:rsid w:val="00754350"/>
    <w:rsid w:val="00763D77"/>
    <w:rsid w:val="007709E1"/>
    <w:rsid w:val="007715FB"/>
    <w:rsid w:val="00774259"/>
    <w:rsid w:val="00777FE5"/>
    <w:rsid w:val="0078476D"/>
    <w:rsid w:val="00786272"/>
    <w:rsid w:val="00786465"/>
    <w:rsid w:val="0078786E"/>
    <w:rsid w:val="00797B1E"/>
    <w:rsid w:val="00797C42"/>
    <w:rsid w:val="007A1B2E"/>
    <w:rsid w:val="007A2CCF"/>
    <w:rsid w:val="007A4409"/>
    <w:rsid w:val="007A554C"/>
    <w:rsid w:val="007B1234"/>
    <w:rsid w:val="007B2008"/>
    <w:rsid w:val="007B26B8"/>
    <w:rsid w:val="007B6D31"/>
    <w:rsid w:val="007C0823"/>
    <w:rsid w:val="007C24D0"/>
    <w:rsid w:val="007C3C61"/>
    <w:rsid w:val="007C5E53"/>
    <w:rsid w:val="007D0BB2"/>
    <w:rsid w:val="007E2F44"/>
    <w:rsid w:val="007E4156"/>
    <w:rsid w:val="007F12C9"/>
    <w:rsid w:val="007F1C70"/>
    <w:rsid w:val="007F3A36"/>
    <w:rsid w:val="007F3E93"/>
    <w:rsid w:val="007F4630"/>
    <w:rsid w:val="00807776"/>
    <w:rsid w:val="00807E66"/>
    <w:rsid w:val="008125FE"/>
    <w:rsid w:val="00814B40"/>
    <w:rsid w:val="008202D6"/>
    <w:rsid w:val="00820C52"/>
    <w:rsid w:val="00824F81"/>
    <w:rsid w:val="00834013"/>
    <w:rsid w:val="00834C57"/>
    <w:rsid w:val="00844C01"/>
    <w:rsid w:val="00853D84"/>
    <w:rsid w:val="00861DBF"/>
    <w:rsid w:val="00863368"/>
    <w:rsid w:val="008657D1"/>
    <w:rsid w:val="008710D9"/>
    <w:rsid w:val="008732CB"/>
    <w:rsid w:val="00876979"/>
    <w:rsid w:val="0088032D"/>
    <w:rsid w:val="008817C3"/>
    <w:rsid w:val="00886454"/>
    <w:rsid w:val="00886455"/>
    <w:rsid w:val="00886829"/>
    <w:rsid w:val="008A3961"/>
    <w:rsid w:val="008C1F35"/>
    <w:rsid w:val="008C4256"/>
    <w:rsid w:val="008D1A27"/>
    <w:rsid w:val="008D20D5"/>
    <w:rsid w:val="008D2F0A"/>
    <w:rsid w:val="008D4F7A"/>
    <w:rsid w:val="008E014C"/>
    <w:rsid w:val="008E306A"/>
    <w:rsid w:val="008E65FA"/>
    <w:rsid w:val="008E6F1A"/>
    <w:rsid w:val="008E75D8"/>
    <w:rsid w:val="008F01E8"/>
    <w:rsid w:val="008F0B6B"/>
    <w:rsid w:val="008F68C1"/>
    <w:rsid w:val="009035C8"/>
    <w:rsid w:val="00905337"/>
    <w:rsid w:val="009123B7"/>
    <w:rsid w:val="009169B1"/>
    <w:rsid w:val="0091780B"/>
    <w:rsid w:val="00921614"/>
    <w:rsid w:val="00927E20"/>
    <w:rsid w:val="00930208"/>
    <w:rsid w:val="00933995"/>
    <w:rsid w:val="00935159"/>
    <w:rsid w:val="00936D23"/>
    <w:rsid w:val="00936F7F"/>
    <w:rsid w:val="0094132C"/>
    <w:rsid w:val="00942432"/>
    <w:rsid w:val="00950190"/>
    <w:rsid w:val="009505D1"/>
    <w:rsid w:val="00950617"/>
    <w:rsid w:val="009531B5"/>
    <w:rsid w:val="009543FC"/>
    <w:rsid w:val="0095653B"/>
    <w:rsid w:val="00962380"/>
    <w:rsid w:val="0097314B"/>
    <w:rsid w:val="00975232"/>
    <w:rsid w:val="00976B8E"/>
    <w:rsid w:val="00983455"/>
    <w:rsid w:val="00996A05"/>
    <w:rsid w:val="009A1CCE"/>
    <w:rsid w:val="009A3EA5"/>
    <w:rsid w:val="009A6166"/>
    <w:rsid w:val="009A70F1"/>
    <w:rsid w:val="009B0B82"/>
    <w:rsid w:val="009B4CC0"/>
    <w:rsid w:val="009B5A86"/>
    <w:rsid w:val="009C057E"/>
    <w:rsid w:val="009C4459"/>
    <w:rsid w:val="009C5094"/>
    <w:rsid w:val="009C75FC"/>
    <w:rsid w:val="009D71CE"/>
    <w:rsid w:val="009E074B"/>
    <w:rsid w:val="009E13A1"/>
    <w:rsid w:val="009E2F57"/>
    <w:rsid w:val="009E71D2"/>
    <w:rsid w:val="009E7BBF"/>
    <w:rsid w:val="009F7510"/>
    <w:rsid w:val="00A02FDA"/>
    <w:rsid w:val="00A10591"/>
    <w:rsid w:val="00A11322"/>
    <w:rsid w:val="00A16C02"/>
    <w:rsid w:val="00A226D8"/>
    <w:rsid w:val="00A32AA1"/>
    <w:rsid w:val="00A32B79"/>
    <w:rsid w:val="00A34596"/>
    <w:rsid w:val="00A45E3A"/>
    <w:rsid w:val="00A50117"/>
    <w:rsid w:val="00A518E1"/>
    <w:rsid w:val="00A555BB"/>
    <w:rsid w:val="00A5709A"/>
    <w:rsid w:val="00A603A6"/>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5B94"/>
    <w:rsid w:val="00AD6E0E"/>
    <w:rsid w:val="00AE36FA"/>
    <w:rsid w:val="00AE4CED"/>
    <w:rsid w:val="00AE6057"/>
    <w:rsid w:val="00AF21D6"/>
    <w:rsid w:val="00AF78B4"/>
    <w:rsid w:val="00AF7C37"/>
    <w:rsid w:val="00B01674"/>
    <w:rsid w:val="00B11379"/>
    <w:rsid w:val="00B12C28"/>
    <w:rsid w:val="00B24F58"/>
    <w:rsid w:val="00B26506"/>
    <w:rsid w:val="00B2709A"/>
    <w:rsid w:val="00B37328"/>
    <w:rsid w:val="00B377F8"/>
    <w:rsid w:val="00B44EF3"/>
    <w:rsid w:val="00B50493"/>
    <w:rsid w:val="00B50B08"/>
    <w:rsid w:val="00B54BA7"/>
    <w:rsid w:val="00B54E71"/>
    <w:rsid w:val="00B60CF2"/>
    <w:rsid w:val="00B67670"/>
    <w:rsid w:val="00B679F5"/>
    <w:rsid w:val="00B73F75"/>
    <w:rsid w:val="00B745FA"/>
    <w:rsid w:val="00B74966"/>
    <w:rsid w:val="00B74A43"/>
    <w:rsid w:val="00B77C47"/>
    <w:rsid w:val="00B77E82"/>
    <w:rsid w:val="00B81812"/>
    <w:rsid w:val="00B8763C"/>
    <w:rsid w:val="00B90CEC"/>
    <w:rsid w:val="00BA1EDD"/>
    <w:rsid w:val="00BA3DA8"/>
    <w:rsid w:val="00BA4A8F"/>
    <w:rsid w:val="00BB0E31"/>
    <w:rsid w:val="00BB52ED"/>
    <w:rsid w:val="00BB5A53"/>
    <w:rsid w:val="00BB5B22"/>
    <w:rsid w:val="00BB6713"/>
    <w:rsid w:val="00BC326B"/>
    <w:rsid w:val="00BC6B6B"/>
    <w:rsid w:val="00BD004F"/>
    <w:rsid w:val="00BD1076"/>
    <w:rsid w:val="00BD19AA"/>
    <w:rsid w:val="00BD4AB3"/>
    <w:rsid w:val="00BD548A"/>
    <w:rsid w:val="00BD778D"/>
    <w:rsid w:val="00BD7ACF"/>
    <w:rsid w:val="00BE097C"/>
    <w:rsid w:val="00BE0F2E"/>
    <w:rsid w:val="00BE2321"/>
    <w:rsid w:val="00BF1246"/>
    <w:rsid w:val="00BF3D7E"/>
    <w:rsid w:val="00BF5E68"/>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0726"/>
    <w:rsid w:val="00C419C9"/>
    <w:rsid w:val="00C42A5C"/>
    <w:rsid w:val="00C45B11"/>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2418"/>
    <w:rsid w:val="00CB37EA"/>
    <w:rsid w:val="00CB6DE6"/>
    <w:rsid w:val="00CC0F6D"/>
    <w:rsid w:val="00CC6D5D"/>
    <w:rsid w:val="00CD1AA1"/>
    <w:rsid w:val="00CD5B3C"/>
    <w:rsid w:val="00CD5DEE"/>
    <w:rsid w:val="00CD77E2"/>
    <w:rsid w:val="00CE0711"/>
    <w:rsid w:val="00CE1EC1"/>
    <w:rsid w:val="00CE5465"/>
    <w:rsid w:val="00CF0CA2"/>
    <w:rsid w:val="00CF6589"/>
    <w:rsid w:val="00CF68D8"/>
    <w:rsid w:val="00CF7557"/>
    <w:rsid w:val="00D00666"/>
    <w:rsid w:val="00D05F88"/>
    <w:rsid w:val="00D1181E"/>
    <w:rsid w:val="00D1560D"/>
    <w:rsid w:val="00D17FD6"/>
    <w:rsid w:val="00D20996"/>
    <w:rsid w:val="00D22BED"/>
    <w:rsid w:val="00D243AB"/>
    <w:rsid w:val="00D2769E"/>
    <w:rsid w:val="00D31232"/>
    <w:rsid w:val="00D31D88"/>
    <w:rsid w:val="00D329C7"/>
    <w:rsid w:val="00D34242"/>
    <w:rsid w:val="00D36A3F"/>
    <w:rsid w:val="00D40145"/>
    <w:rsid w:val="00D44B4E"/>
    <w:rsid w:val="00D50CBD"/>
    <w:rsid w:val="00D55CA2"/>
    <w:rsid w:val="00D61919"/>
    <w:rsid w:val="00D63B53"/>
    <w:rsid w:val="00D66901"/>
    <w:rsid w:val="00D66A25"/>
    <w:rsid w:val="00D67210"/>
    <w:rsid w:val="00D72852"/>
    <w:rsid w:val="00D8178E"/>
    <w:rsid w:val="00D83993"/>
    <w:rsid w:val="00D86168"/>
    <w:rsid w:val="00D86A0A"/>
    <w:rsid w:val="00D86E64"/>
    <w:rsid w:val="00D96AA4"/>
    <w:rsid w:val="00DA0231"/>
    <w:rsid w:val="00DA0EF1"/>
    <w:rsid w:val="00DA7DF9"/>
    <w:rsid w:val="00DB114A"/>
    <w:rsid w:val="00DB2840"/>
    <w:rsid w:val="00DB606C"/>
    <w:rsid w:val="00DC19C7"/>
    <w:rsid w:val="00DC2391"/>
    <w:rsid w:val="00DC324E"/>
    <w:rsid w:val="00DC7FA3"/>
    <w:rsid w:val="00DD09B1"/>
    <w:rsid w:val="00DD1B20"/>
    <w:rsid w:val="00DD3D86"/>
    <w:rsid w:val="00DD5FE2"/>
    <w:rsid w:val="00DE4BE0"/>
    <w:rsid w:val="00DE60F6"/>
    <w:rsid w:val="00DE76F5"/>
    <w:rsid w:val="00DF112B"/>
    <w:rsid w:val="00E03020"/>
    <w:rsid w:val="00E03B52"/>
    <w:rsid w:val="00E041D0"/>
    <w:rsid w:val="00E043B9"/>
    <w:rsid w:val="00E04814"/>
    <w:rsid w:val="00E11104"/>
    <w:rsid w:val="00E1125E"/>
    <w:rsid w:val="00E11A19"/>
    <w:rsid w:val="00E16495"/>
    <w:rsid w:val="00E16B2A"/>
    <w:rsid w:val="00E1737B"/>
    <w:rsid w:val="00E260A9"/>
    <w:rsid w:val="00E26931"/>
    <w:rsid w:val="00E3291B"/>
    <w:rsid w:val="00E33D8E"/>
    <w:rsid w:val="00E351F4"/>
    <w:rsid w:val="00E366A4"/>
    <w:rsid w:val="00E36853"/>
    <w:rsid w:val="00E44019"/>
    <w:rsid w:val="00E45A69"/>
    <w:rsid w:val="00E466A8"/>
    <w:rsid w:val="00E470BF"/>
    <w:rsid w:val="00E545B6"/>
    <w:rsid w:val="00E64413"/>
    <w:rsid w:val="00E65ACD"/>
    <w:rsid w:val="00E677F7"/>
    <w:rsid w:val="00E71976"/>
    <w:rsid w:val="00E719BF"/>
    <w:rsid w:val="00E74359"/>
    <w:rsid w:val="00E80FFE"/>
    <w:rsid w:val="00E8106B"/>
    <w:rsid w:val="00E83E02"/>
    <w:rsid w:val="00E8698E"/>
    <w:rsid w:val="00E908EC"/>
    <w:rsid w:val="00E91F24"/>
    <w:rsid w:val="00E922D9"/>
    <w:rsid w:val="00E94A5B"/>
    <w:rsid w:val="00E9697D"/>
    <w:rsid w:val="00E97839"/>
    <w:rsid w:val="00EA31E0"/>
    <w:rsid w:val="00EA5585"/>
    <w:rsid w:val="00EA6635"/>
    <w:rsid w:val="00EB46EE"/>
    <w:rsid w:val="00EC3B70"/>
    <w:rsid w:val="00EC3C5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6C60"/>
    <w:rsid w:val="00F27AFD"/>
    <w:rsid w:val="00F3072A"/>
    <w:rsid w:val="00F3164A"/>
    <w:rsid w:val="00F31691"/>
    <w:rsid w:val="00F33270"/>
    <w:rsid w:val="00F334E9"/>
    <w:rsid w:val="00F363C1"/>
    <w:rsid w:val="00F36BBB"/>
    <w:rsid w:val="00F45AE7"/>
    <w:rsid w:val="00F50010"/>
    <w:rsid w:val="00F541D9"/>
    <w:rsid w:val="00F56E8A"/>
    <w:rsid w:val="00F64380"/>
    <w:rsid w:val="00F66538"/>
    <w:rsid w:val="00F71656"/>
    <w:rsid w:val="00F7404D"/>
    <w:rsid w:val="00F86EDD"/>
    <w:rsid w:val="00F8793D"/>
    <w:rsid w:val="00FA279E"/>
    <w:rsid w:val="00FA7EE1"/>
    <w:rsid w:val="00FB2C8E"/>
    <w:rsid w:val="00FB2EDE"/>
    <w:rsid w:val="00FB6654"/>
    <w:rsid w:val="00FB7195"/>
    <w:rsid w:val="00FC34DC"/>
    <w:rsid w:val="00FC5D05"/>
    <w:rsid w:val="00FD09F3"/>
    <w:rsid w:val="00FD324E"/>
    <w:rsid w:val="00FD78DC"/>
    <w:rsid w:val="00FE09DC"/>
    <w:rsid w:val="00FE3FB1"/>
    <w:rsid w:val="00FF2827"/>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55A1C6A5"/>
  <w15:docId w15:val="{50976519-7279-4CC3-AB99-1AF8D3F1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qFormat/>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List Paragraph"/>
    <w:basedOn w:val="a"/>
    <w:uiPriority w:val="34"/>
    <w:qFormat/>
    <w:rsid w:val="00F26C60"/>
    <w:pPr>
      <w:ind w:firstLineChars="200" w:firstLine="420"/>
    </w:pPr>
    <w:rPr>
      <w:rFonts w:ascii="Times New Roman" w:eastAsia="宋体" w:hAnsi="Times New Roman" w:cs="Times New Roman"/>
      <w:szCs w:val="24"/>
    </w:rPr>
  </w:style>
  <w:style w:type="paragraph" w:customStyle="1" w:styleId="Default">
    <w:name w:val="Default"/>
    <w:qFormat/>
    <w:rsid w:val="004F3EE8"/>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AB5E5-F1B2-404F-9EB2-3A91C048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Pages>
  <Words>157</Words>
  <Characters>895</Characters>
  <Application>Microsoft Office Word</Application>
  <DocSecurity>0</DocSecurity>
  <Lines>7</Lines>
  <Paragraphs>2</Paragraphs>
  <ScaleCrop>false</ScaleCrop>
  <Company>china</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92</cp:revision>
  <cp:lastPrinted>2022-02-10T03:53:00Z</cp:lastPrinted>
  <dcterms:created xsi:type="dcterms:W3CDTF">2021-03-01T03:03:00Z</dcterms:created>
  <dcterms:modified xsi:type="dcterms:W3CDTF">2022-07-11T08:54:00Z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