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27" w:type="dxa"/>
        <w:jc w:val="center"/>
        <w:tblLayout w:type="fixed"/>
        <w:tblLook w:val="04A0" w:firstRow="1" w:lastRow="0" w:firstColumn="1" w:lastColumn="0" w:noHBand="0" w:noVBand="1"/>
      </w:tblPr>
      <w:tblGrid>
        <w:gridCol w:w="725"/>
        <w:gridCol w:w="9809"/>
        <w:gridCol w:w="893"/>
      </w:tblGrid>
      <w:tr w:rsidR="00936D23" w:rsidTr="00D17ABB">
        <w:trPr>
          <w:trHeight w:val="495"/>
          <w:jc w:val="center"/>
        </w:trPr>
        <w:tc>
          <w:tcPr>
            <w:tcW w:w="11427" w:type="dxa"/>
            <w:gridSpan w:val="3"/>
            <w:tcBorders>
              <w:bottom w:val="single" w:sz="8" w:space="0" w:color="008000"/>
            </w:tcBorders>
            <w:shd w:val="clear" w:color="auto" w:fill="auto"/>
            <w:vAlign w:val="center"/>
          </w:tcPr>
          <w:p w:rsidR="00936D23" w:rsidRDefault="00182C2E">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4307062"/>
            <w:r>
              <w:rPr>
                <w:rFonts w:ascii="仿宋_GB2312" w:eastAsia="仿宋_GB2312" w:hAnsi="宋体" w:cs="宋体" w:hint="eastAsia"/>
                <w:b/>
                <w:bCs/>
                <w:color w:val="0000FF"/>
                <w:kern w:val="0"/>
                <w:sz w:val="28"/>
                <w:szCs w:val="28"/>
              </w:rPr>
              <w:t>微创血流动力学监护仪</w:t>
            </w:r>
          </w:p>
        </w:tc>
      </w:tr>
      <w:tr w:rsidR="00936D23"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809"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93"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809"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809"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D0010">
        <w:trPr>
          <w:trHeight w:val="35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809"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809" w:type="dxa"/>
            <w:tcBorders>
              <w:top w:val="nil"/>
              <w:left w:val="nil"/>
              <w:bottom w:val="single" w:sz="8" w:space="0" w:color="008000"/>
              <w:right w:val="single" w:sz="8" w:space="0" w:color="008000"/>
            </w:tcBorders>
            <w:shd w:val="clear" w:color="auto" w:fill="auto"/>
            <w:vAlign w:val="center"/>
          </w:tcPr>
          <w:p w:rsidR="00492A26" w:rsidRPr="008824FD"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93"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809"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w:t>
            </w:r>
            <w:bookmarkStart w:id="1" w:name="_GoBack"/>
            <w:bookmarkEnd w:id="1"/>
            <w:r w:rsidRPr="00132495">
              <w:rPr>
                <w:rFonts w:ascii="仿宋_GB2312" w:eastAsia="仿宋_GB2312" w:hAnsi="宋体" w:cs="宋体" w:hint="eastAsia"/>
                <w:kern w:val="0"/>
                <w:sz w:val="28"/>
                <w:szCs w:val="28"/>
              </w:rPr>
              <w:t>及用户的要求进行及时做出硬件上的调整并负责做好相应设备的安装</w:t>
            </w:r>
          </w:p>
        </w:tc>
        <w:tc>
          <w:tcPr>
            <w:tcW w:w="893"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809" w:type="dxa"/>
            <w:tcBorders>
              <w:top w:val="nil"/>
              <w:left w:val="nil"/>
              <w:bottom w:val="single" w:sz="8" w:space="0" w:color="008000"/>
              <w:right w:val="single" w:sz="8" w:space="0" w:color="008000"/>
            </w:tcBorders>
            <w:shd w:val="clear" w:color="auto" w:fill="auto"/>
            <w:vAlign w:val="center"/>
          </w:tcPr>
          <w:p w:rsidR="00F50994" w:rsidRPr="00132495" w:rsidRDefault="00F50994" w:rsidP="00BB2A74">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BB2A74">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F50994"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809"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50994" w:rsidTr="001376C2">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BA735B"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BA735B">
              <w:rPr>
                <w:rFonts w:ascii="仿宋_GB2312" w:eastAsia="仿宋_GB2312" w:hAnsi="宋体" w:cs="宋体" w:hint="eastAsia"/>
                <w:kern w:val="0"/>
                <w:sz w:val="28"/>
                <w:szCs w:val="28"/>
              </w:rPr>
              <w:t>1</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widowControl/>
              <w:adjustRightInd w:val="0"/>
              <w:snapToGrid w:val="0"/>
              <w:spacing w:line="240" w:lineRule="atLeast"/>
              <w:jc w:val="left"/>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微创监测模式</w:t>
            </w:r>
            <w:r>
              <w:rPr>
                <w:rFonts w:hint="eastAsia"/>
              </w:rPr>
              <w:t>，</w:t>
            </w:r>
            <w:r w:rsidRPr="00AA23B0">
              <w:rPr>
                <w:rFonts w:ascii="仿宋_GB2312" w:eastAsia="仿宋_GB2312" w:hAnsi="宋体" w:cs="宋体" w:hint="eastAsia"/>
                <w:bCs/>
                <w:kern w:val="0"/>
                <w:sz w:val="28"/>
                <w:szCs w:val="28"/>
              </w:rPr>
              <w:t>经外周动脉实现实时连续血流动力学监测</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809" w:type="dxa"/>
            <w:tcBorders>
              <w:top w:val="nil"/>
              <w:left w:val="nil"/>
              <w:bottom w:val="single" w:sz="8" w:space="0" w:color="008000"/>
              <w:right w:val="single" w:sz="8" w:space="0" w:color="008000"/>
            </w:tcBorders>
            <w:shd w:val="clear" w:color="auto" w:fill="auto"/>
          </w:tcPr>
          <w:p w:rsidR="00F50994" w:rsidRPr="00A5553E" w:rsidRDefault="00F50994" w:rsidP="00CF7104">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无须专用</w:t>
            </w:r>
            <w:r w:rsidRPr="00652B54">
              <w:rPr>
                <w:rFonts w:ascii="仿宋_GB2312" w:eastAsia="仿宋_GB2312" w:hAnsi="宋体" w:cs="宋体" w:hint="eastAsia"/>
                <w:bCs/>
                <w:kern w:val="0"/>
                <w:sz w:val="28"/>
                <w:szCs w:val="28"/>
              </w:rPr>
              <w:t>耗材</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在显示界面具有SV、MAP、HP、SVR、CO变化率窗口，在液体容量试验之后，直接显示结果</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Pr>
                <w:rFonts w:ascii="仿宋_GB2312" w:eastAsia="仿宋_GB2312" w:hAnsi="宋体" w:cs="宋体" w:hint="eastAsia"/>
                <w:bCs/>
                <w:kern w:val="0"/>
                <w:sz w:val="28"/>
                <w:szCs w:val="28"/>
              </w:rPr>
              <w:t>图形显示：</w:t>
            </w:r>
            <w:r w:rsidRPr="00652B54">
              <w:rPr>
                <w:rFonts w:ascii="仿宋_GB2312" w:eastAsia="仿宋_GB2312" w:hAnsi="宋体" w:cs="宋体" w:hint="eastAsia"/>
                <w:bCs/>
                <w:kern w:val="0"/>
                <w:sz w:val="28"/>
                <w:szCs w:val="28"/>
              </w:rPr>
              <w:t>同时提供短期、长期趋势图形，并可标注参数基线值</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内置容量负荷试验流程临床指导方案≥5种，</w:t>
            </w:r>
            <w:r>
              <w:rPr>
                <w:rFonts w:ascii="仿宋_GB2312" w:eastAsia="仿宋_GB2312" w:hAnsi="宋体" w:cs="宋体" w:hint="eastAsia"/>
                <w:bCs/>
                <w:kern w:val="0"/>
                <w:sz w:val="28"/>
                <w:szCs w:val="28"/>
              </w:rPr>
              <w:t>具备</w:t>
            </w:r>
            <w:r w:rsidRPr="00652B54">
              <w:rPr>
                <w:rFonts w:ascii="仿宋_GB2312" w:eastAsia="仿宋_GB2312" w:hAnsi="宋体" w:cs="宋体" w:hint="eastAsia"/>
                <w:bCs/>
                <w:kern w:val="0"/>
                <w:sz w:val="28"/>
                <w:szCs w:val="28"/>
              </w:rPr>
              <w:t>液体冲击试验、被动抬腿试验、肺复张试验、呼气末闭塞试验、潮气量冲击试验</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内置临床诊疗路径≥7种（低血压处理方案、临床用药指南、正常值参考、脓毒症3h诊疗路径等）</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液体试验后直接显示患者Starling曲线</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一键截</w:t>
            </w:r>
            <w:proofErr w:type="gramStart"/>
            <w:r w:rsidRPr="00652B54">
              <w:rPr>
                <w:rFonts w:ascii="仿宋_GB2312" w:eastAsia="仿宋_GB2312" w:hAnsi="宋体" w:cs="宋体" w:hint="eastAsia"/>
                <w:bCs/>
                <w:kern w:val="0"/>
                <w:sz w:val="28"/>
                <w:szCs w:val="28"/>
              </w:rPr>
              <w:t>屏功能</w:t>
            </w:r>
            <w:proofErr w:type="gramEnd"/>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数据图显示：可回顾</w:t>
            </w:r>
            <w:proofErr w:type="gramStart"/>
            <w:r w:rsidRPr="00652B54">
              <w:rPr>
                <w:rFonts w:ascii="仿宋_GB2312" w:eastAsia="仿宋_GB2312" w:hAnsi="宋体" w:cs="宋体" w:hint="eastAsia"/>
                <w:bCs/>
                <w:kern w:val="0"/>
                <w:sz w:val="28"/>
                <w:szCs w:val="28"/>
              </w:rPr>
              <w:t>本患者</w:t>
            </w:r>
            <w:proofErr w:type="gramEnd"/>
            <w:r w:rsidRPr="00652B54">
              <w:rPr>
                <w:rFonts w:ascii="仿宋_GB2312" w:eastAsia="仿宋_GB2312" w:hAnsi="宋体" w:cs="宋体" w:hint="eastAsia"/>
                <w:bCs/>
                <w:kern w:val="0"/>
                <w:sz w:val="28"/>
                <w:szCs w:val="28"/>
              </w:rPr>
              <w:t>所有瞬时数据值</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日间/夜间模式切换</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提供配套软件，读取软件实时还原监测数据、波形图及操作情况；可通过4个USB串口导出Excel数据文件</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E769C1">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数据存储≥16G</w:t>
            </w:r>
            <w:r w:rsidRPr="00652B54">
              <w:rPr>
                <w:rFonts w:ascii="仿宋_GB2312" w:eastAsia="仿宋_GB2312" w:hAnsi="宋体" w:cs="宋体"/>
                <w:bCs/>
                <w:kern w:val="0"/>
                <w:sz w:val="28"/>
                <w:szCs w:val="28"/>
              </w:rPr>
              <w:t xml:space="preserve"> </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自检报警系统</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显示屏尺寸≥17寸，全触屏操作，支持分屏，支持HDMI，支持投影</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Pr>
                <w:rFonts w:ascii="仿宋_GB2312" w:eastAsia="仿宋_GB2312" w:hAnsi="宋体" w:cs="宋体" w:hint="eastAsia"/>
                <w:bCs/>
                <w:kern w:val="0"/>
                <w:sz w:val="28"/>
                <w:szCs w:val="28"/>
              </w:rPr>
              <w:t>内置电池续航时间</w:t>
            </w:r>
            <w:r w:rsidRPr="00652B54">
              <w:rPr>
                <w:rFonts w:ascii="仿宋_GB2312" w:eastAsia="仿宋_GB2312" w:hAnsi="宋体" w:cs="宋体" w:hint="eastAsia"/>
                <w:bCs/>
                <w:kern w:val="0"/>
                <w:sz w:val="28"/>
                <w:szCs w:val="28"/>
              </w:rPr>
              <w:t>≥6小时</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textAlignment w:val="baseline"/>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支持TCP/IP、HL7通讯协议，可与医院信息化系统链接</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0F6576">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17</w:t>
            </w:r>
          </w:p>
        </w:tc>
        <w:tc>
          <w:tcPr>
            <w:tcW w:w="9809" w:type="dxa"/>
            <w:tcBorders>
              <w:top w:val="nil"/>
              <w:left w:val="nil"/>
              <w:bottom w:val="single" w:sz="8" w:space="0" w:color="008000"/>
              <w:right w:val="single" w:sz="8" w:space="0" w:color="008000"/>
            </w:tcBorders>
            <w:shd w:val="clear" w:color="auto" w:fill="auto"/>
          </w:tcPr>
          <w:p w:rsidR="00F50994" w:rsidRPr="00652B54" w:rsidRDefault="00F50994" w:rsidP="00CF7104">
            <w:pPr>
              <w:adjustRightInd w:val="0"/>
              <w:snapToGrid w:val="0"/>
              <w:spacing w:line="240" w:lineRule="atLeast"/>
              <w:rPr>
                <w:rFonts w:ascii="仿宋_GB2312" w:eastAsia="仿宋_GB2312" w:hAnsi="宋体" w:cs="宋体"/>
                <w:bCs/>
                <w:kern w:val="0"/>
                <w:sz w:val="28"/>
                <w:szCs w:val="28"/>
              </w:rPr>
            </w:pPr>
            <w:r w:rsidRPr="00652B54">
              <w:rPr>
                <w:rFonts w:ascii="仿宋_GB2312" w:eastAsia="仿宋_GB2312" w:hAnsi="宋体" w:cs="宋体" w:hint="eastAsia"/>
                <w:bCs/>
                <w:kern w:val="0"/>
                <w:sz w:val="28"/>
                <w:szCs w:val="28"/>
              </w:rPr>
              <w:t>无创监测功能</w:t>
            </w:r>
          </w:p>
        </w:tc>
        <w:tc>
          <w:tcPr>
            <w:tcW w:w="893" w:type="dxa"/>
            <w:tcBorders>
              <w:top w:val="nil"/>
              <w:left w:val="nil"/>
              <w:bottom w:val="single" w:sz="8" w:space="0" w:color="008000"/>
              <w:right w:val="single" w:sz="8" w:space="0" w:color="008000"/>
            </w:tcBorders>
            <w:shd w:val="clear" w:color="auto" w:fill="auto"/>
            <w:vAlign w:val="center"/>
          </w:tcPr>
          <w:p w:rsidR="00F50994" w:rsidRPr="00132495" w:rsidRDefault="00F50994" w:rsidP="00652B54">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50994" w:rsidTr="001376C2">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EF2180" w:rsidRDefault="00F50994" w:rsidP="00652B5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809" w:type="dxa"/>
            <w:tcBorders>
              <w:top w:val="nil"/>
              <w:left w:val="nil"/>
              <w:bottom w:val="single" w:sz="8" w:space="0" w:color="008000"/>
              <w:right w:val="single" w:sz="8" w:space="0" w:color="008000"/>
            </w:tcBorders>
            <w:shd w:val="clear" w:color="auto" w:fill="auto"/>
            <w:vAlign w:val="center"/>
          </w:tcPr>
          <w:p w:rsidR="00F50994" w:rsidRPr="009169B1" w:rsidRDefault="00F50994" w:rsidP="00CF7104">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652B5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Pr="001159DD" w:rsidRDefault="00F50994"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809" w:type="dxa"/>
            <w:tcBorders>
              <w:top w:val="nil"/>
              <w:left w:val="nil"/>
              <w:bottom w:val="single" w:sz="8" w:space="0" w:color="008000"/>
              <w:right w:val="single" w:sz="8" w:space="0" w:color="008000"/>
            </w:tcBorders>
            <w:shd w:val="clear" w:color="auto" w:fill="auto"/>
            <w:vAlign w:val="center"/>
          </w:tcPr>
          <w:p w:rsidR="00F50994" w:rsidRPr="009169B1" w:rsidRDefault="00F50994" w:rsidP="00CF7104">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893" w:type="dxa"/>
            <w:tcBorders>
              <w:top w:val="nil"/>
              <w:left w:val="nil"/>
              <w:bottom w:val="single" w:sz="8" w:space="0" w:color="008000"/>
              <w:right w:val="single" w:sz="8" w:space="0" w:color="008000"/>
            </w:tcBorders>
            <w:shd w:val="clear" w:color="auto" w:fill="auto"/>
          </w:tcPr>
          <w:p w:rsidR="00F50994" w:rsidRPr="004F3EE8" w:rsidRDefault="00F50994"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12743"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D12743" w:rsidRDefault="00D12743"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809" w:type="dxa"/>
            <w:tcBorders>
              <w:top w:val="nil"/>
              <w:left w:val="nil"/>
              <w:bottom w:val="single" w:sz="8" w:space="0" w:color="008000"/>
              <w:right w:val="single" w:sz="8" w:space="0" w:color="008000"/>
            </w:tcBorders>
            <w:shd w:val="clear" w:color="auto" w:fill="auto"/>
            <w:vAlign w:val="center"/>
          </w:tcPr>
          <w:p w:rsidR="00D12743" w:rsidRPr="009169B1" w:rsidRDefault="00D12743" w:rsidP="00D12743">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提供配套使用耗材医疗器械注册证及长期供应价格</w:t>
            </w:r>
          </w:p>
        </w:tc>
        <w:tc>
          <w:tcPr>
            <w:tcW w:w="893" w:type="dxa"/>
            <w:tcBorders>
              <w:top w:val="nil"/>
              <w:left w:val="nil"/>
              <w:bottom w:val="single" w:sz="8" w:space="0" w:color="008000"/>
              <w:right w:val="single" w:sz="8" w:space="0" w:color="008000"/>
            </w:tcBorders>
            <w:shd w:val="clear" w:color="auto" w:fill="auto"/>
          </w:tcPr>
          <w:p w:rsidR="00D12743" w:rsidRPr="00D4489D" w:rsidRDefault="00D12743"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50994"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809"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p>
        </w:tc>
      </w:tr>
      <w:tr w:rsidR="00F50994" w:rsidTr="002D0010">
        <w:trPr>
          <w:trHeight w:val="374"/>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809" w:type="dxa"/>
            <w:tcBorders>
              <w:top w:val="nil"/>
              <w:left w:val="nil"/>
              <w:bottom w:val="single" w:sz="8" w:space="0" w:color="008000"/>
              <w:right w:val="single" w:sz="8" w:space="0" w:color="008000"/>
            </w:tcBorders>
            <w:shd w:val="clear" w:color="auto" w:fill="auto"/>
            <w:vAlign w:val="center"/>
          </w:tcPr>
          <w:p w:rsidR="00F50994" w:rsidRDefault="00F50994" w:rsidP="00D641E6">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2D0010">
        <w:trPr>
          <w:trHeight w:val="374"/>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809"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2D0010">
        <w:trPr>
          <w:trHeight w:val="49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809"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2D0010">
        <w:trPr>
          <w:trHeight w:val="49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809" w:type="dxa"/>
            <w:tcBorders>
              <w:top w:val="nil"/>
              <w:left w:val="nil"/>
              <w:bottom w:val="single" w:sz="8" w:space="0" w:color="008000"/>
              <w:right w:val="single" w:sz="8" w:space="0" w:color="008000"/>
            </w:tcBorders>
            <w:shd w:val="clear" w:color="auto" w:fill="auto"/>
            <w:vAlign w:val="center"/>
          </w:tcPr>
          <w:p w:rsidR="00F50994" w:rsidRPr="00001E12" w:rsidRDefault="00F50994"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994" w:rsidTr="002D0010">
        <w:trPr>
          <w:trHeight w:val="49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809" w:type="dxa"/>
            <w:tcBorders>
              <w:top w:val="nil"/>
              <w:left w:val="nil"/>
              <w:bottom w:val="single" w:sz="8" w:space="0" w:color="008000"/>
              <w:right w:val="single" w:sz="8" w:space="0" w:color="008000"/>
            </w:tcBorders>
            <w:shd w:val="clear" w:color="auto" w:fill="auto"/>
            <w:vAlign w:val="center"/>
          </w:tcPr>
          <w:p w:rsidR="00F50994" w:rsidRPr="00001E12" w:rsidRDefault="00F50994"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93" w:type="dxa"/>
            <w:tcBorders>
              <w:top w:val="nil"/>
              <w:left w:val="nil"/>
              <w:bottom w:val="single" w:sz="8" w:space="0" w:color="008000"/>
              <w:right w:val="single" w:sz="8" w:space="0" w:color="008000"/>
            </w:tcBorders>
            <w:shd w:val="clear" w:color="auto" w:fill="auto"/>
            <w:vAlign w:val="center"/>
          </w:tcPr>
          <w:p w:rsidR="00F50994" w:rsidRDefault="00F50994"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rsidP="00D17ABB">
      <w:pPr>
        <w:adjustRightInd w:val="0"/>
        <w:snapToGrid w:val="0"/>
        <w:spacing w:line="240" w:lineRule="atLeast"/>
        <w:jc w:val="right"/>
        <w:rPr>
          <w:rFonts w:eastAsia="仿宋_GB2312"/>
          <w:b/>
          <w:bCs/>
          <w:color w:val="FF0000"/>
          <w:sz w:val="28"/>
          <w:szCs w:val="28"/>
        </w:rPr>
      </w:pPr>
    </w:p>
    <w:sectPr w:rsidR="00936D23" w:rsidSect="00C840DC">
      <w:pgSz w:w="11906" w:h="16838"/>
      <w:pgMar w:top="238" w:right="1474" w:bottom="2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2C2" w:rsidRDefault="00D902C2" w:rsidP="00863368">
      <w:r>
        <w:separator/>
      </w:r>
    </w:p>
  </w:endnote>
  <w:endnote w:type="continuationSeparator" w:id="0">
    <w:p w:rsidR="00D902C2" w:rsidRDefault="00D902C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2C2" w:rsidRDefault="00D902C2" w:rsidP="00863368">
      <w:r>
        <w:separator/>
      </w:r>
    </w:p>
  </w:footnote>
  <w:footnote w:type="continuationSeparator" w:id="0">
    <w:p w:rsidR="00D902C2" w:rsidRDefault="00D902C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17CE"/>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2C2E"/>
    <w:rsid w:val="00183A10"/>
    <w:rsid w:val="00185A14"/>
    <w:rsid w:val="00187916"/>
    <w:rsid w:val="0018797D"/>
    <w:rsid w:val="00187E17"/>
    <w:rsid w:val="001A715E"/>
    <w:rsid w:val="001B0C60"/>
    <w:rsid w:val="001B6376"/>
    <w:rsid w:val="001D05DB"/>
    <w:rsid w:val="001D5322"/>
    <w:rsid w:val="001D7CC7"/>
    <w:rsid w:val="001E18E3"/>
    <w:rsid w:val="001E3C7E"/>
    <w:rsid w:val="001E406D"/>
    <w:rsid w:val="001E52DE"/>
    <w:rsid w:val="001F7A59"/>
    <w:rsid w:val="00204156"/>
    <w:rsid w:val="002157DA"/>
    <w:rsid w:val="0022206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7E63"/>
    <w:rsid w:val="002D0010"/>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4405"/>
    <w:rsid w:val="00317252"/>
    <w:rsid w:val="003177D8"/>
    <w:rsid w:val="00321450"/>
    <w:rsid w:val="00327A75"/>
    <w:rsid w:val="00331413"/>
    <w:rsid w:val="003323C6"/>
    <w:rsid w:val="00332715"/>
    <w:rsid w:val="0033371C"/>
    <w:rsid w:val="00333FE2"/>
    <w:rsid w:val="00334610"/>
    <w:rsid w:val="0033485F"/>
    <w:rsid w:val="00336B46"/>
    <w:rsid w:val="003439CE"/>
    <w:rsid w:val="00344127"/>
    <w:rsid w:val="00352DBB"/>
    <w:rsid w:val="003538C3"/>
    <w:rsid w:val="003620C2"/>
    <w:rsid w:val="00362B4A"/>
    <w:rsid w:val="00363F42"/>
    <w:rsid w:val="00370220"/>
    <w:rsid w:val="00370A67"/>
    <w:rsid w:val="003743E7"/>
    <w:rsid w:val="00376731"/>
    <w:rsid w:val="00377813"/>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62A1"/>
    <w:rsid w:val="004074A4"/>
    <w:rsid w:val="0041241A"/>
    <w:rsid w:val="00412BCD"/>
    <w:rsid w:val="00417A2B"/>
    <w:rsid w:val="00420908"/>
    <w:rsid w:val="00423179"/>
    <w:rsid w:val="00425E1F"/>
    <w:rsid w:val="00431B44"/>
    <w:rsid w:val="00432EC7"/>
    <w:rsid w:val="0043355B"/>
    <w:rsid w:val="0044409E"/>
    <w:rsid w:val="004448B3"/>
    <w:rsid w:val="004450D3"/>
    <w:rsid w:val="00447B38"/>
    <w:rsid w:val="00450D5B"/>
    <w:rsid w:val="0045698C"/>
    <w:rsid w:val="004610A0"/>
    <w:rsid w:val="00461473"/>
    <w:rsid w:val="00461E8C"/>
    <w:rsid w:val="0047056A"/>
    <w:rsid w:val="004727A2"/>
    <w:rsid w:val="00472AB4"/>
    <w:rsid w:val="0047533D"/>
    <w:rsid w:val="00475A21"/>
    <w:rsid w:val="00476D17"/>
    <w:rsid w:val="00480FC6"/>
    <w:rsid w:val="004840AB"/>
    <w:rsid w:val="004915B4"/>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1AA6"/>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458E"/>
    <w:rsid w:val="00616A9D"/>
    <w:rsid w:val="0062147B"/>
    <w:rsid w:val="00622E53"/>
    <w:rsid w:val="00624A3D"/>
    <w:rsid w:val="00640797"/>
    <w:rsid w:val="00642E61"/>
    <w:rsid w:val="006441E0"/>
    <w:rsid w:val="0064700E"/>
    <w:rsid w:val="006473ED"/>
    <w:rsid w:val="00652B54"/>
    <w:rsid w:val="00654F4F"/>
    <w:rsid w:val="00660D4A"/>
    <w:rsid w:val="006623AF"/>
    <w:rsid w:val="00664736"/>
    <w:rsid w:val="006650BE"/>
    <w:rsid w:val="006669D7"/>
    <w:rsid w:val="006723F1"/>
    <w:rsid w:val="006749CB"/>
    <w:rsid w:val="00676297"/>
    <w:rsid w:val="006830BC"/>
    <w:rsid w:val="0068456B"/>
    <w:rsid w:val="006864D1"/>
    <w:rsid w:val="006871CF"/>
    <w:rsid w:val="00691DB2"/>
    <w:rsid w:val="00693027"/>
    <w:rsid w:val="006A1314"/>
    <w:rsid w:val="006A2854"/>
    <w:rsid w:val="006A4E69"/>
    <w:rsid w:val="006A5052"/>
    <w:rsid w:val="006A6A4F"/>
    <w:rsid w:val="006A7D44"/>
    <w:rsid w:val="006B2DE3"/>
    <w:rsid w:val="006B76E5"/>
    <w:rsid w:val="006B7B28"/>
    <w:rsid w:val="006C01F0"/>
    <w:rsid w:val="006C56DF"/>
    <w:rsid w:val="006C6BEB"/>
    <w:rsid w:val="006D53A9"/>
    <w:rsid w:val="006D6296"/>
    <w:rsid w:val="006E3FB2"/>
    <w:rsid w:val="006E5434"/>
    <w:rsid w:val="006E5A4F"/>
    <w:rsid w:val="006F3E49"/>
    <w:rsid w:val="007012C8"/>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D1DBE"/>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55A69"/>
    <w:rsid w:val="00861DBF"/>
    <w:rsid w:val="00863368"/>
    <w:rsid w:val="008657D1"/>
    <w:rsid w:val="008710D9"/>
    <w:rsid w:val="008732CB"/>
    <w:rsid w:val="00876979"/>
    <w:rsid w:val="0088032D"/>
    <w:rsid w:val="008817C3"/>
    <w:rsid w:val="00884B77"/>
    <w:rsid w:val="00886454"/>
    <w:rsid w:val="00886455"/>
    <w:rsid w:val="00886829"/>
    <w:rsid w:val="008A3961"/>
    <w:rsid w:val="008B24D8"/>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39E"/>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3E"/>
    <w:rsid w:val="00A555BB"/>
    <w:rsid w:val="00A5709A"/>
    <w:rsid w:val="00A603A6"/>
    <w:rsid w:val="00A65634"/>
    <w:rsid w:val="00A66A68"/>
    <w:rsid w:val="00A85884"/>
    <w:rsid w:val="00A86FA7"/>
    <w:rsid w:val="00A93436"/>
    <w:rsid w:val="00AA061F"/>
    <w:rsid w:val="00AA23B0"/>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2018"/>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A735B"/>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3496"/>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40DC"/>
    <w:rsid w:val="00C86522"/>
    <w:rsid w:val="00C90606"/>
    <w:rsid w:val="00C9321E"/>
    <w:rsid w:val="00C9707F"/>
    <w:rsid w:val="00CA56B0"/>
    <w:rsid w:val="00CA6928"/>
    <w:rsid w:val="00CA72FA"/>
    <w:rsid w:val="00CB1D51"/>
    <w:rsid w:val="00CB204C"/>
    <w:rsid w:val="00CB2418"/>
    <w:rsid w:val="00CB6DE6"/>
    <w:rsid w:val="00CC0F6D"/>
    <w:rsid w:val="00CC6725"/>
    <w:rsid w:val="00CC6D5D"/>
    <w:rsid w:val="00CD1AA1"/>
    <w:rsid w:val="00CD5B3C"/>
    <w:rsid w:val="00CD5DEE"/>
    <w:rsid w:val="00CD62B8"/>
    <w:rsid w:val="00CD77E2"/>
    <w:rsid w:val="00CE0711"/>
    <w:rsid w:val="00CE1EC1"/>
    <w:rsid w:val="00CE5465"/>
    <w:rsid w:val="00CF0CA2"/>
    <w:rsid w:val="00CF6589"/>
    <w:rsid w:val="00CF68D8"/>
    <w:rsid w:val="00CF7557"/>
    <w:rsid w:val="00D00666"/>
    <w:rsid w:val="00D05F88"/>
    <w:rsid w:val="00D1181E"/>
    <w:rsid w:val="00D12743"/>
    <w:rsid w:val="00D1560D"/>
    <w:rsid w:val="00D17ABB"/>
    <w:rsid w:val="00D17FD6"/>
    <w:rsid w:val="00D20996"/>
    <w:rsid w:val="00D22BED"/>
    <w:rsid w:val="00D243AB"/>
    <w:rsid w:val="00D26DEF"/>
    <w:rsid w:val="00D2769E"/>
    <w:rsid w:val="00D31232"/>
    <w:rsid w:val="00D31D88"/>
    <w:rsid w:val="00D329C7"/>
    <w:rsid w:val="00D34242"/>
    <w:rsid w:val="00D36A3F"/>
    <w:rsid w:val="00D40145"/>
    <w:rsid w:val="00D44B4E"/>
    <w:rsid w:val="00D50CBD"/>
    <w:rsid w:val="00D55CA2"/>
    <w:rsid w:val="00D5625E"/>
    <w:rsid w:val="00D61919"/>
    <w:rsid w:val="00D63B53"/>
    <w:rsid w:val="00D641E6"/>
    <w:rsid w:val="00D66901"/>
    <w:rsid w:val="00D66A25"/>
    <w:rsid w:val="00D67210"/>
    <w:rsid w:val="00D70D71"/>
    <w:rsid w:val="00D72852"/>
    <w:rsid w:val="00D8178E"/>
    <w:rsid w:val="00D83993"/>
    <w:rsid w:val="00D86168"/>
    <w:rsid w:val="00D86A0A"/>
    <w:rsid w:val="00D86E64"/>
    <w:rsid w:val="00D902C2"/>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588A"/>
    <w:rsid w:val="00E366A4"/>
    <w:rsid w:val="00E36853"/>
    <w:rsid w:val="00E44019"/>
    <w:rsid w:val="00E45A69"/>
    <w:rsid w:val="00E466A8"/>
    <w:rsid w:val="00E470BF"/>
    <w:rsid w:val="00E545B6"/>
    <w:rsid w:val="00E64413"/>
    <w:rsid w:val="00E65ACD"/>
    <w:rsid w:val="00E677F7"/>
    <w:rsid w:val="00E71976"/>
    <w:rsid w:val="00E719BF"/>
    <w:rsid w:val="00E74359"/>
    <w:rsid w:val="00E75615"/>
    <w:rsid w:val="00E769C1"/>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0994"/>
    <w:rsid w:val="00F541D9"/>
    <w:rsid w:val="00F56E8A"/>
    <w:rsid w:val="00F64380"/>
    <w:rsid w:val="00F64DC1"/>
    <w:rsid w:val="00F66538"/>
    <w:rsid w:val="00F71656"/>
    <w:rsid w:val="00F7404D"/>
    <w:rsid w:val="00F81EFC"/>
    <w:rsid w:val="00F86EDD"/>
    <w:rsid w:val="00F8793D"/>
    <w:rsid w:val="00F96D63"/>
    <w:rsid w:val="00FA279E"/>
    <w:rsid w:val="00FA7EE1"/>
    <w:rsid w:val="00FB2C8E"/>
    <w:rsid w:val="00FB2EDE"/>
    <w:rsid w:val="00FB6654"/>
    <w:rsid w:val="00FB7195"/>
    <w:rsid w:val="00FB7574"/>
    <w:rsid w:val="00FC34DC"/>
    <w:rsid w:val="00FC5D05"/>
    <w:rsid w:val="00FC5F37"/>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3CF7839C"/>
  <w15:docId w15:val="{5EE16552-29C4-465C-9C1F-B691BFD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BCAFC-9254-4C94-AC7A-FD52C1E2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180</Words>
  <Characters>1032</Characters>
  <Application>Microsoft Office Word</Application>
  <DocSecurity>0</DocSecurity>
  <Lines>8</Lines>
  <Paragraphs>2</Paragraphs>
  <ScaleCrop>false</ScaleCrop>
  <Company>china</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118</cp:revision>
  <cp:lastPrinted>2022-02-17T03:57:00Z</cp:lastPrinted>
  <dcterms:created xsi:type="dcterms:W3CDTF">2021-03-01T03:03:00Z</dcterms:created>
  <dcterms:modified xsi:type="dcterms:W3CDTF">2022-05-24T09:55:00Z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