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7A7C44">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0136865"/>
            <w:r>
              <w:rPr>
                <w:rFonts w:ascii="仿宋_GB2312" w:eastAsia="仿宋_GB2312" w:hAnsi="宋体" w:cs="宋体" w:hint="eastAsia"/>
                <w:b/>
                <w:bCs/>
                <w:color w:val="0000FF"/>
                <w:kern w:val="0"/>
                <w:sz w:val="28"/>
                <w:szCs w:val="28"/>
              </w:rPr>
              <w:t>糖化血红蛋白分析仪</w:t>
            </w:r>
          </w:p>
        </w:tc>
      </w:tr>
      <w:tr w:rsidR="00936D23"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05955">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C43F27"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C43F27" w:rsidRPr="00132495" w:rsidRDefault="00C43F27" w:rsidP="00AF6445">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C43F27" w:rsidRPr="00132495" w:rsidRDefault="00C43F27" w:rsidP="00AF64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检测方法：高压液相毛细管电泳法</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7A7C44">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检测项目：糖化血红蛋白、血红</w:t>
            </w:r>
            <w:bookmarkStart w:id="1" w:name="_GoBack"/>
            <w:bookmarkEnd w:id="1"/>
            <w:r w:rsidRPr="00536A5C">
              <w:rPr>
                <w:rFonts w:ascii="仿宋_GB2312" w:eastAsia="仿宋_GB2312" w:hAnsi="宋体" w:cs="宋体" w:hint="eastAsia"/>
                <w:bCs/>
                <w:kern w:val="0"/>
                <w:sz w:val="28"/>
                <w:szCs w:val="28"/>
              </w:rPr>
              <w:t>蛋白电泳、血清蛋白电泳</w:t>
            </w:r>
          </w:p>
        </w:tc>
        <w:tc>
          <w:tcPr>
            <w:tcW w:w="798" w:type="dxa"/>
            <w:tcBorders>
              <w:top w:val="nil"/>
              <w:left w:val="nil"/>
              <w:bottom w:val="single" w:sz="8" w:space="0" w:color="008000"/>
              <w:right w:val="single" w:sz="8" w:space="0" w:color="008000"/>
            </w:tcBorders>
            <w:shd w:val="clear" w:color="auto" w:fill="auto"/>
          </w:tcPr>
          <w:p w:rsidR="00C43F27" w:rsidRPr="00D4489D" w:rsidRDefault="00C43F27" w:rsidP="00536A5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921AE1">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检测速度：血红蛋白电泳≥</w:t>
            </w:r>
            <w:r>
              <w:rPr>
                <w:rFonts w:ascii="仿宋_GB2312" w:eastAsia="仿宋_GB2312" w:hAnsi="宋体" w:cs="宋体" w:hint="eastAsia"/>
                <w:bCs/>
                <w:kern w:val="0"/>
                <w:sz w:val="28"/>
                <w:szCs w:val="28"/>
              </w:rPr>
              <w:t>7</w:t>
            </w:r>
            <w:r w:rsidRPr="00536A5C">
              <w:rPr>
                <w:rFonts w:ascii="仿宋_GB2312" w:eastAsia="仿宋_GB2312" w:hAnsi="宋体" w:cs="宋体" w:hint="eastAsia"/>
                <w:bCs/>
                <w:kern w:val="0"/>
                <w:sz w:val="28"/>
                <w:szCs w:val="28"/>
              </w:rPr>
              <w:t>0测试/小时；糖化血红蛋白≥</w:t>
            </w:r>
            <w:r>
              <w:rPr>
                <w:rFonts w:ascii="仿宋_GB2312" w:eastAsia="仿宋_GB2312" w:hAnsi="宋体" w:cs="宋体" w:hint="eastAsia"/>
                <w:bCs/>
                <w:kern w:val="0"/>
                <w:sz w:val="28"/>
                <w:szCs w:val="28"/>
              </w:rPr>
              <w:t>7</w:t>
            </w:r>
            <w:r w:rsidRPr="00536A5C">
              <w:rPr>
                <w:rFonts w:ascii="仿宋_GB2312" w:eastAsia="仿宋_GB2312" w:hAnsi="宋体" w:cs="宋体" w:hint="eastAsia"/>
                <w:bCs/>
                <w:kern w:val="0"/>
                <w:sz w:val="28"/>
                <w:szCs w:val="28"/>
              </w:rPr>
              <w:t>0测试/小时</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921AE1">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检测通道≥8条并行毛细管通道同时运行</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7A7C44">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最大单次</w:t>
            </w:r>
            <w:r w:rsidRPr="00536A5C">
              <w:rPr>
                <w:rFonts w:ascii="仿宋_GB2312" w:eastAsia="仿宋_GB2312" w:hAnsi="宋体" w:cs="宋体" w:hint="eastAsia"/>
                <w:bCs/>
                <w:kern w:val="0"/>
                <w:sz w:val="28"/>
                <w:szCs w:val="28"/>
              </w:rPr>
              <w:t>进样≥120个样本</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921AE1">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控制单元：具备自动温度控制、自动液面水平监测、自动温度、气路、光路检测、自动冲洗及自动锁功能</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7</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921AE1">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结果可通过网络传输至医院LIS或HIS系统</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8</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7D02E1">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条码系统：标本试管及</w:t>
            </w:r>
            <w:proofErr w:type="gramStart"/>
            <w:r w:rsidRPr="00536A5C">
              <w:rPr>
                <w:rFonts w:ascii="仿宋_GB2312" w:eastAsia="仿宋_GB2312" w:hAnsi="宋体" w:cs="宋体" w:hint="eastAsia"/>
                <w:bCs/>
                <w:kern w:val="0"/>
                <w:sz w:val="28"/>
                <w:szCs w:val="28"/>
              </w:rPr>
              <w:t>试管架均由</w:t>
            </w:r>
            <w:proofErr w:type="gramEnd"/>
            <w:r w:rsidRPr="00536A5C">
              <w:rPr>
                <w:rFonts w:ascii="仿宋_GB2312" w:eastAsia="仿宋_GB2312" w:hAnsi="宋体" w:cs="宋体" w:hint="eastAsia"/>
                <w:bCs/>
                <w:kern w:val="0"/>
                <w:sz w:val="28"/>
                <w:szCs w:val="28"/>
              </w:rPr>
              <w:t>条型码阅读器自动识别</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9</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7D02E1">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质控系统：可使用L-J质控图表进行质</w:t>
            </w:r>
            <w:proofErr w:type="gramStart"/>
            <w:r w:rsidRPr="00536A5C">
              <w:rPr>
                <w:rFonts w:ascii="仿宋_GB2312" w:eastAsia="仿宋_GB2312" w:hAnsi="宋体" w:cs="宋体" w:hint="eastAsia"/>
                <w:bCs/>
                <w:kern w:val="0"/>
                <w:sz w:val="28"/>
                <w:szCs w:val="28"/>
              </w:rPr>
              <w:t>控统计</w:t>
            </w:r>
            <w:proofErr w:type="gramEnd"/>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10</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736655">
            <w:pPr>
              <w:widowControl/>
              <w:adjustRightInd w:val="0"/>
              <w:snapToGrid w:val="0"/>
              <w:spacing w:line="240" w:lineRule="atLeast"/>
              <w:jc w:val="left"/>
              <w:rPr>
                <w:rFonts w:ascii="仿宋_GB2312" w:eastAsia="仿宋_GB2312" w:hAnsi="宋体" w:cs="宋体"/>
                <w:bCs/>
                <w:kern w:val="0"/>
                <w:sz w:val="28"/>
                <w:szCs w:val="28"/>
              </w:rPr>
            </w:pPr>
            <w:proofErr w:type="gramStart"/>
            <w:r w:rsidRPr="00C43F27">
              <w:rPr>
                <w:rFonts w:ascii="仿宋_GB2312" w:eastAsia="仿宋_GB2312" w:hAnsi="宋体" w:cs="宋体" w:hint="eastAsia"/>
                <w:bCs/>
                <w:kern w:val="0"/>
                <w:sz w:val="28"/>
                <w:szCs w:val="28"/>
              </w:rPr>
              <w:t>穿帽检测</w:t>
            </w:r>
            <w:proofErr w:type="gramEnd"/>
            <w:r w:rsidRPr="00C43F27">
              <w:rPr>
                <w:rFonts w:ascii="仿宋_GB2312" w:eastAsia="仿宋_GB2312" w:hAnsi="宋体" w:cs="宋体" w:hint="eastAsia"/>
                <w:bCs/>
                <w:kern w:val="0"/>
                <w:sz w:val="28"/>
                <w:szCs w:val="28"/>
              </w:rPr>
              <w:t>功能、不需要</w:t>
            </w:r>
            <w:r w:rsidRPr="00C43F27">
              <w:rPr>
                <w:rFonts w:ascii="仿宋_GB2312" w:eastAsia="仿宋_GB2312" w:hAnsi="宋体" w:cs="宋体"/>
                <w:bCs/>
                <w:kern w:val="0"/>
                <w:sz w:val="28"/>
                <w:szCs w:val="28"/>
              </w:rPr>
              <w:t>开盖检测</w:t>
            </w:r>
            <w:r w:rsidRPr="00C43F27">
              <w:rPr>
                <w:rFonts w:ascii="仿宋_GB2312" w:eastAsia="仿宋_GB2312" w:hAnsi="宋体" w:cs="宋体" w:hint="eastAsia"/>
                <w:bCs/>
                <w:kern w:val="0"/>
                <w:sz w:val="28"/>
                <w:szCs w:val="28"/>
              </w:rPr>
              <w:t>、</w:t>
            </w:r>
            <w:r w:rsidRPr="00C43F27">
              <w:rPr>
                <w:rFonts w:ascii="仿宋_GB2312" w:eastAsia="仿宋_GB2312" w:hAnsi="宋体" w:cs="宋体"/>
                <w:bCs/>
                <w:kern w:val="0"/>
                <w:sz w:val="28"/>
                <w:szCs w:val="28"/>
              </w:rPr>
              <w:t>自动</w:t>
            </w:r>
            <w:r w:rsidRPr="00C43F27">
              <w:rPr>
                <w:rFonts w:ascii="仿宋_GB2312" w:eastAsia="仿宋_GB2312" w:hAnsi="宋体" w:cs="宋体" w:hint="eastAsia"/>
                <w:bCs/>
                <w:kern w:val="0"/>
                <w:sz w:val="28"/>
                <w:szCs w:val="28"/>
              </w:rPr>
              <w:t>上下颠倒混匀功能</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736655">
            <w:pPr>
              <w:widowControl/>
              <w:adjustRightInd w:val="0"/>
              <w:snapToGrid w:val="0"/>
              <w:spacing w:line="240" w:lineRule="atLeast"/>
              <w:jc w:val="left"/>
              <w:rPr>
                <w:rFonts w:ascii="仿宋_GB2312" w:eastAsia="仿宋_GB2312" w:hAnsi="宋体" w:cs="宋体"/>
                <w:bCs/>
                <w:kern w:val="0"/>
                <w:sz w:val="28"/>
                <w:szCs w:val="28"/>
              </w:rPr>
            </w:pPr>
            <w:r w:rsidRPr="00C43F27">
              <w:rPr>
                <w:rFonts w:ascii="仿宋_GB2312" w:eastAsia="仿宋_GB2312" w:hAnsi="宋体" w:cs="宋体" w:hint="eastAsia"/>
                <w:bCs/>
                <w:kern w:val="0"/>
                <w:sz w:val="28"/>
                <w:szCs w:val="28"/>
              </w:rPr>
              <w:t>能够同时识别出β地贫和缺铁</w:t>
            </w:r>
            <w:proofErr w:type="gramStart"/>
            <w:r w:rsidRPr="00C43F27">
              <w:rPr>
                <w:rFonts w:ascii="仿宋_GB2312" w:eastAsia="仿宋_GB2312" w:hAnsi="宋体" w:cs="宋体" w:hint="eastAsia"/>
                <w:bCs/>
                <w:kern w:val="0"/>
                <w:sz w:val="28"/>
                <w:szCs w:val="28"/>
              </w:rPr>
              <w:t>贫</w:t>
            </w:r>
            <w:proofErr w:type="gramEnd"/>
            <w:r w:rsidRPr="00C43F27">
              <w:rPr>
                <w:rFonts w:ascii="仿宋_GB2312" w:eastAsia="仿宋_GB2312" w:hAnsi="宋体" w:cs="宋体" w:hint="eastAsia"/>
                <w:bCs/>
                <w:kern w:val="0"/>
                <w:sz w:val="28"/>
                <w:szCs w:val="28"/>
              </w:rPr>
              <w:t>患者</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736655">
            <w:pPr>
              <w:widowControl/>
              <w:adjustRightInd w:val="0"/>
              <w:snapToGrid w:val="0"/>
              <w:spacing w:line="240" w:lineRule="atLeast"/>
              <w:jc w:val="left"/>
              <w:rPr>
                <w:rFonts w:ascii="仿宋_GB2312" w:eastAsia="仿宋_GB2312" w:hAnsi="宋体" w:cs="宋体"/>
                <w:bCs/>
                <w:kern w:val="0"/>
                <w:sz w:val="28"/>
                <w:szCs w:val="28"/>
              </w:rPr>
            </w:pPr>
            <w:r w:rsidRPr="00C43F27">
              <w:rPr>
                <w:rFonts w:ascii="仿宋_GB2312" w:eastAsia="仿宋_GB2312" w:hAnsi="宋体" w:cs="宋体" w:hint="eastAsia"/>
                <w:bCs/>
                <w:kern w:val="0"/>
                <w:sz w:val="28"/>
                <w:szCs w:val="28"/>
              </w:rPr>
              <w:t>试剂瓶可射频识别，在线显示试剂余量</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35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C43F27" w:rsidRPr="00536A5C" w:rsidRDefault="00C43F27" w:rsidP="00736655">
            <w:pPr>
              <w:widowControl/>
              <w:adjustRightInd w:val="0"/>
              <w:snapToGrid w:val="0"/>
              <w:spacing w:line="240" w:lineRule="atLeast"/>
              <w:jc w:val="left"/>
              <w:rPr>
                <w:rFonts w:ascii="仿宋_GB2312" w:eastAsia="仿宋_GB2312" w:hAnsi="宋体" w:cs="宋体"/>
                <w:bCs/>
                <w:kern w:val="0"/>
                <w:sz w:val="28"/>
                <w:szCs w:val="28"/>
              </w:rPr>
            </w:pPr>
            <w:r w:rsidRPr="00C43F27">
              <w:rPr>
                <w:rFonts w:ascii="仿宋_GB2312" w:eastAsia="仿宋_GB2312" w:hAnsi="宋体" w:cs="宋体" w:hint="eastAsia"/>
                <w:bCs/>
                <w:kern w:val="0"/>
                <w:sz w:val="28"/>
                <w:szCs w:val="28"/>
              </w:rPr>
              <w:t>触摸</w:t>
            </w:r>
            <w:proofErr w:type="gramStart"/>
            <w:r w:rsidRPr="00C43F27">
              <w:rPr>
                <w:rFonts w:ascii="仿宋_GB2312" w:eastAsia="仿宋_GB2312" w:hAnsi="宋体" w:cs="宋体" w:hint="eastAsia"/>
                <w:bCs/>
                <w:kern w:val="0"/>
                <w:sz w:val="28"/>
                <w:szCs w:val="28"/>
              </w:rPr>
              <w:t>屏操作</w:t>
            </w:r>
            <w:proofErr w:type="gramEnd"/>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14</w:t>
            </w:r>
          </w:p>
        </w:tc>
        <w:tc>
          <w:tcPr>
            <w:tcW w:w="9239" w:type="dxa"/>
            <w:tcBorders>
              <w:top w:val="nil"/>
              <w:left w:val="nil"/>
              <w:bottom w:val="single" w:sz="8" w:space="0" w:color="008000"/>
              <w:right w:val="single" w:sz="8" w:space="0" w:color="008000"/>
            </w:tcBorders>
            <w:shd w:val="clear" w:color="auto" w:fill="auto"/>
            <w:vAlign w:val="center"/>
          </w:tcPr>
          <w:p w:rsidR="00C43F27" w:rsidRPr="00C43F27" w:rsidRDefault="00C43F27" w:rsidP="00736655">
            <w:pPr>
              <w:widowControl/>
              <w:adjustRightInd w:val="0"/>
              <w:snapToGrid w:val="0"/>
              <w:spacing w:line="240" w:lineRule="atLeast"/>
              <w:jc w:val="left"/>
              <w:rPr>
                <w:rFonts w:ascii="仿宋_GB2312" w:eastAsia="仿宋_GB2312" w:hAnsi="宋体" w:cs="宋体"/>
                <w:bCs/>
                <w:kern w:val="0"/>
                <w:sz w:val="28"/>
                <w:szCs w:val="28"/>
              </w:rPr>
            </w:pPr>
            <w:r w:rsidRPr="00C43F27">
              <w:rPr>
                <w:rFonts w:ascii="仿宋_GB2312" w:eastAsia="仿宋_GB2312" w:hAnsi="宋体" w:cs="宋体" w:hint="eastAsia"/>
                <w:bCs/>
                <w:kern w:val="0"/>
                <w:sz w:val="28"/>
                <w:szCs w:val="28"/>
              </w:rPr>
              <w:t>自动开关机，程序自动切换</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536A5C" w:rsidRDefault="00C43F27" w:rsidP="00C43F27">
            <w:pPr>
              <w:widowControl/>
              <w:adjustRightInd w:val="0"/>
              <w:snapToGrid w:val="0"/>
              <w:spacing w:line="240" w:lineRule="atLeast"/>
              <w:jc w:val="center"/>
              <w:rPr>
                <w:rFonts w:ascii="仿宋_GB2312" w:eastAsia="仿宋_GB2312" w:hAnsi="宋体" w:cs="宋体"/>
                <w:bCs/>
                <w:kern w:val="0"/>
                <w:sz w:val="28"/>
                <w:szCs w:val="28"/>
              </w:rPr>
            </w:pPr>
            <w:r w:rsidRPr="001C4A5B">
              <w:rPr>
                <w:rFonts w:ascii="仿宋_GB2312" w:eastAsia="仿宋_GB2312" w:hAnsi="宋体" w:cs="宋体" w:hint="eastAsia"/>
                <w:kern w:val="0"/>
                <w:sz w:val="28"/>
                <w:szCs w:val="28"/>
              </w:rPr>
              <w:t>#</w:t>
            </w:r>
            <w:r w:rsidRPr="00536A5C">
              <w:rPr>
                <w:rFonts w:ascii="仿宋_GB2312" w:eastAsia="仿宋_GB2312" w:hAnsi="宋体" w:cs="宋体" w:hint="eastAsia"/>
                <w:bCs/>
                <w:kern w:val="0"/>
                <w:sz w:val="28"/>
                <w:szCs w:val="28"/>
              </w:rPr>
              <w:t>1</w:t>
            </w:r>
            <w:r>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C43F27" w:rsidRPr="001C4A5B" w:rsidRDefault="00C43F27" w:rsidP="005C323F">
            <w:pPr>
              <w:widowControl/>
              <w:adjustRightInd w:val="0"/>
              <w:snapToGrid w:val="0"/>
              <w:jc w:val="left"/>
              <w:rPr>
                <w:rFonts w:ascii="仿宋_GB2312" w:eastAsia="仿宋_GB2312" w:hAnsi="宋体" w:cs="宋体"/>
                <w:bCs/>
                <w:kern w:val="0"/>
                <w:sz w:val="28"/>
                <w:szCs w:val="28"/>
              </w:rPr>
            </w:pPr>
            <w:r w:rsidRPr="001C4A5B">
              <w:rPr>
                <w:rFonts w:ascii="仿宋_GB2312" w:eastAsia="仿宋_GB2312" w:hAnsi="宋体" w:cs="宋体" w:hint="eastAsia"/>
                <w:bCs/>
                <w:kern w:val="0"/>
                <w:sz w:val="28"/>
                <w:szCs w:val="28"/>
              </w:rPr>
              <w:t>提供以下检测项目所需配套试剂耗材医疗器械注册证及长期供应价格（含名称、品牌、规格型号、单价)</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RP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3B5454" w:rsidRDefault="00C43F27" w:rsidP="00C43F27">
            <w:pPr>
              <w:widowControl/>
              <w:adjustRightInd w:val="0"/>
              <w:snapToGrid w:val="0"/>
              <w:jc w:val="center"/>
              <w:textAlignment w:val="center"/>
              <w:rPr>
                <w:rFonts w:ascii="仿宋_GB2312" w:eastAsia="仿宋_GB2312" w:hAnsi="宋体" w:cs="宋体"/>
                <w:kern w:val="0"/>
                <w:sz w:val="28"/>
                <w:szCs w:val="28"/>
              </w:rPr>
            </w:pPr>
            <w:r w:rsidRPr="003B5454">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r w:rsidRPr="003B545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C43F27" w:rsidRPr="005D43D3" w:rsidRDefault="00C43F27" w:rsidP="005C323F">
            <w:pPr>
              <w:widowControl/>
              <w:adjustRightInd w:val="0"/>
              <w:snapToGrid w:val="0"/>
              <w:jc w:val="left"/>
              <w:rPr>
                <w:rFonts w:ascii="仿宋_GB2312" w:eastAsia="仿宋_GB2312" w:hAnsi="宋体" w:cs="宋体"/>
                <w:bCs/>
                <w:color w:val="FF0000"/>
                <w:kern w:val="0"/>
                <w:sz w:val="28"/>
                <w:szCs w:val="28"/>
              </w:rPr>
            </w:pPr>
            <w:r w:rsidRPr="00536A5C">
              <w:rPr>
                <w:rFonts w:ascii="仿宋_GB2312" w:eastAsia="仿宋_GB2312" w:hAnsi="宋体" w:cs="宋体" w:hint="eastAsia"/>
                <w:bCs/>
                <w:kern w:val="0"/>
                <w:sz w:val="28"/>
                <w:szCs w:val="28"/>
              </w:rPr>
              <w:t>糖化血红蛋白</w:t>
            </w:r>
          </w:p>
        </w:tc>
        <w:tc>
          <w:tcPr>
            <w:tcW w:w="798" w:type="dxa"/>
            <w:tcBorders>
              <w:top w:val="nil"/>
              <w:left w:val="nil"/>
              <w:bottom w:val="single" w:sz="8" w:space="0" w:color="008000"/>
              <w:right w:val="single" w:sz="8" w:space="0" w:color="008000"/>
            </w:tcBorders>
            <w:shd w:val="clear" w:color="auto" w:fill="auto"/>
          </w:tcPr>
          <w:p w:rsidR="00C43F27" w:rsidRDefault="00C43F27" w:rsidP="00C43F27">
            <w:pPr>
              <w:adjustRightInd w:val="0"/>
              <w:snapToGrid w:val="0"/>
            </w:pPr>
            <w:r w:rsidRPr="00592596">
              <w:rPr>
                <w:rFonts w:ascii="仿宋_GB2312" w:eastAsia="仿宋_GB2312" w:hAnsi="宋体" w:cs="宋体" w:hint="eastAsia"/>
                <w:kern w:val="0"/>
                <w:sz w:val="28"/>
                <w:szCs w:val="28"/>
              </w:rPr>
              <w:t>具备</w:t>
            </w:r>
          </w:p>
        </w:tc>
      </w:tr>
      <w:tr w:rsidR="00C43F27" w:rsidRP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3B5454" w:rsidRDefault="00C43F27" w:rsidP="00C43F27">
            <w:pPr>
              <w:widowControl/>
              <w:adjustRightInd w:val="0"/>
              <w:snapToGrid w:val="0"/>
              <w:jc w:val="center"/>
              <w:textAlignment w:val="center"/>
              <w:rPr>
                <w:rFonts w:ascii="仿宋_GB2312" w:eastAsia="仿宋_GB2312" w:hAnsi="宋体" w:cs="宋体"/>
                <w:kern w:val="0"/>
                <w:sz w:val="28"/>
                <w:szCs w:val="28"/>
              </w:rPr>
            </w:pPr>
            <w:r w:rsidRPr="003B5454">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r w:rsidRPr="003B5454">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C43F27" w:rsidRPr="005D43D3" w:rsidRDefault="00C43F27" w:rsidP="005C323F">
            <w:pPr>
              <w:widowControl/>
              <w:adjustRightInd w:val="0"/>
              <w:snapToGrid w:val="0"/>
              <w:jc w:val="left"/>
              <w:rPr>
                <w:rFonts w:ascii="仿宋_GB2312" w:eastAsia="仿宋_GB2312" w:hAnsi="宋体" w:cs="宋体"/>
                <w:bCs/>
                <w:color w:val="FF0000"/>
                <w:kern w:val="0"/>
                <w:sz w:val="28"/>
                <w:szCs w:val="28"/>
              </w:rPr>
            </w:pPr>
            <w:r w:rsidRPr="00536A5C">
              <w:rPr>
                <w:rFonts w:ascii="仿宋_GB2312" w:eastAsia="仿宋_GB2312" w:hAnsi="宋体" w:cs="宋体" w:hint="eastAsia"/>
                <w:bCs/>
                <w:kern w:val="0"/>
                <w:sz w:val="28"/>
                <w:szCs w:val="28"/>
              </w:rPr>
              <w:t>血红蛋白电泳</w:t>
            </w:r>
          </w:p>
        </w:tc>
        <w:tc>
          <w:tcPr>
            <w:tcW w:w="798" w:type="dxa"/>
            <w:tcBorders>
              <w:top w:val="nil"/>
              <w:left w:val="nil"/>
              <w:bottom w:val="single" w:sz="8" w:space="0" w:color="008000"/>
              <w:right w:val="single" w:sz="8" w:space="0" w:color="008000"/>
            </w:tcBorders>
            <w:shd w:val="clear" w:color="auto" w:fill="auto"/>
          </w:tcPr>
          <w:p w:rsidR="00C43F27" w:rsidRDefault="00C43F27" w:rsidP="00C43F27">
            <w:pPr>
              <w:adjustRightInd w:val="0"/>
              <w:snapToGrid w:val="0"/>
            </w:pPr>
            <w:r w:rsidRPr="00592596">
              <w:rPr>
                <w:rFonts w:ascii="仿宋_GB2312" w:eastAsia="仿宋_GB2312" w:hAnsi="宋体" w:cs="宋体" w:hint="eastAsia"/>
                <w:kern w:val="0"/>
                <w:sz w:val="28"/>
                <w:szCs w:val="28"/>
              </w:rPr>
              <w:t>具备</w:t>
            </w:r>
          </w:p>
        </w:tc>
      </w:tr>
      <w:tr w:rsidR="00C43F27" w:rsidTr="00705955">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3B5454" w:rsidRDefault="00C43F27" w:rsidP="00C43F2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15.3</w:t>
            </w:r>
          </w:p>
        </w:tc>
        <w:tc>
          <w:tcPr>
            <w:tcW w:w="9239" w:type="dxa"/>
            <w:tcBorders>
              <w:top w:val="nil"/>
              <w:left w:val="nil"/>
              <w:bottom w:val="single" w:sz="8" w:space="0" w:color="008000"/>
              <w:right w:val="single" w:sz="8" w:space="0" w:color="008000"/>
            </w:tcBorders>
            <w:shd w:val="clear" w:color="auto" w:fill="auto"/>
            <w:vAlign w:val="center"/>
          </w:tcPr>
          <w:p w:rsidR="00C43F27" w:rsidRPr="005D43D3" w:rsidRDefault="00C43F27" w:rsidP="005C323F">
            <w:pPr>
              <w:widowControl/>
              <w:adjustRightInd w:val="0"/>
              <w:snapToGrid w:val="0"/>
              <w:jc w:val="left"/>
              <w:rPr>
                <w:rFonts w:ascii="仿宋_GB2312" w:eastAsia="仿宋_GB2312" w:hAnsi="宋体" w:cs="宋体"/>
                <w:bCs/>
                <w:color w:val="FF0000"/>
                <w:kern w:val="0"/>
                <w:sz w:val="28"/>
                <w:szCs w:val="28"/>
              </w:rPr>
            </w:pPr>
            <w:r w:rsidRPr="00536A5C">
              <w:rPr>
                <w:rFonts w:ascii="仿宋_GB2312" w:eastAsia="仿宋_GB2312" w:hAnsi="宋体" w:cs="宋体" w:hint="eastAsia"/>
                <w:bCs/>
                <w:kern w:val="0"/>
                <w:sz w:val="28"/>
                <w:szCs w:val="28"/>
              </w:rPr>
              <w:t>血清蛋白电泳</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3B5454" w:rsidRDefault="00C43F27" w:rsidP="00C43F2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tcBorders>
              <w:top w:val="nil"/>
              <w:left w:val="nil"/>
              <w:bottom w:val="single" w:sz="8" w:space="0" w:color="008000"/>
              <w:right w:val="single" w:sz="8" w:space="0" w:color="008000"/>
            </w:tcBorders>
            <w:shd w:val="clear" w:color="auto" w:fill="auto"/>
            <w:vAlign w:val="center"/>
          </w:tcPr>
          <w:p w:rsidR="00C43F27" w:rsidRPr="009169B1" w:rsidRDefault="00C43F27" w:rsidP="005C323F">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Pr="003B5454" w:rsidRDefault="00C43F27" w:rsidP="00C43F2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9239" w:type="dxa"/>
            <w:tcBorders>
              <w:top w:val="nil"/>
              <w:left w:val="nil"/>
              <w:bottom w:val="single" w:sz="8" w:space="0" w:color="008000"/>
              <w:right w:val="single" w:sz="8" w:space="0" w:color="008000"/>
            </w:tcBorders>
            <w:shd w:val="clear" w:color="auto" w:fill="auto"/>
            <w:vAlign w:val="center"/>
          </w:tcPr>
          <w:p w:rsidR="00C43F27" w:rsidRPr="009169B1" w:rsidRDefault="00C43F27" w:rsidP="005C323F">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C43F27" w:rsidRPr="004F3EE8" w:rsidRDefault="00C43F27" w:rsidP="007F5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43F27"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p>
        </w:tc>
      </w:tr>
      <w:tr w:rsidR="00C43F27" w:rsidTr="00705955">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C43F27" w:rsidRDefault="00C43F27" w:rsidP="008644E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008644E9">
              <w:rPr>
                <w:rFonts w:ascii="仿宋_GB2312" w:eastAsia="仿宋_GB2312" w:hAnsi="宋体" w:cs="宋体" w:hint="eastAsia"/>
                <w:kern w:val="0"/>
                <w:sz w:val="28"/>
                <w:szCs w:val="28"/>
              </w:rPr>
              <w:t>3</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F27" w:rsidTr="00705955">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F27" w:rsidTr="00705955">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F27" w:rsidTr="00705955">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C43F27" w:rsidRPr="00001E12" w:rsidRDefault="00C43F27">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F27" w:rsidTr="00705955">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C43F27" w:rsidRPr="00001E12" w:rsidRDefault="00C43F27">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C43F27" w:rsidRDefault="00C43F2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494" w:rsidRDefault="00552494" w:rsidP="00863368">
      <w:r>
        <w:separator/>
      </w:r>
    </w:p>
  </w:endnote>
  <w:endnote w:type="continuationSeparator" w:id="0">
    <w:p w:rsidR="00552494" w:rsidRDefault="00552494"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494" w:rsidRDefault="00552494" w:rsidP="00863368">
      <w:r>
        <w:separator/>
      </w:r>
    </w:p>
  </w:footnote>
  <w:footnote w:type="continuationSeparator" w:id="0">
    <w:p w:rsidR="00552494" w:rsidRDefault="00552494"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174DA"/>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B71"/>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0EE4"/>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771A1"/>
    <w:rsid w:val="00185A14"/>
    <w:rsid w:val="00187916"/>
    <w:rsid w:val="0018797D"/>
    <w:rsid w:val="00187E17"/>
    <w:rsid w:val="001A715E"/>
    <w:rsid w:val="001B0C60"/>
    <w:rsid w:val="001B6376"/>
    <w:rsid w:val="001C4A5B"/>
    <w:rsid w:val="001D5322"/>
    <w:rsid w:val="001D7CC7"/>
    <w:rsid w:val="001E18E3"/>
    <w:rsid w:val="001E3C7E"/>
    <w:rsid w:val="001E406D"/>
    <w:rsid w:val="001E52DE"/>
    <w:rsid w:val="001F4928"/>
    <w:rsid w:val="001F7A59"/>
    <w:rsid w:val="00204156"/>
    <w:rsid w:val="002157DA"/>
    <w:rsid w:val="00223A5C"/>
    <w:rsid w:val="00223DD2"/>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649B"/>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54"/>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3A9A"/>
    <w:rsid w:val="00417A2B"/>
    <w:rsid w:val="004206E3"/>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6A5C"/>
    <w:rsid w:val="0054290E"/>
    <w:rsid w:val="00544A5E"/>
    <w:rsid w:val="00545E72"/>
    <w:rsid w:val="00552494"/>
    <w:rsid w:val="0055726D"/>
    <w:rsid w:val="005613B3"/>
    <w:rsid w:val="005618FE"/>
    <w:rsid w:val="00561B94"/>
    <w:rsid w:val="00564F5B"/>
    <w:rsid w:val="00564FDB"/>
    <w:rsid w:val="00573165"/>
    <w:rsid w:val="00576A08"/>
    <w:rsid w:val="00577CB6"/>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310C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0E27"/>
    <w:rsid w:val="00705251"/>
    <w:rsid w:val="00705955"/>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A7C44"/>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44E9"/>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6389"/>
    <w:rsid w:val="00AA7A46"/>
    <w:rsid w:val="00AB1A45"/>
    <w:rsid w:val="00AB59E1"/>
    <w:rsid w:val="00AB6268"/>
    <w:rsid w:val="00AC35D2"/>
    <w:rsid w:val="00AC3BD5"/>
    <w:rsid w:val="00AD2D7B"/>
    <w:rsid w:val="00AD5B94"/>
    <w:rsid w:val="00AD6E0E"/>
    <w:rsid w:val="00AE30DD"/>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0D11"/>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3F27"/>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2754"/>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66EE84A0"/>
  <w15:docId w15:val="{17B867BF-1AD9-4DD8-8E2B-73C23111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AE788-B29E-404B-BDCB-C9985476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Pages>
  <Words>171</Words>
  <Characters>977</Characters>
  <Application>Microsoft Office Word</Application>
  <DocSecurity>0</DocSecurity>
  <Lines>8</Lines>
  <Paragraphs>2</Paragraphs>
  <ScaleCrop>false</ScaleCrop>
  <Company>china</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102</cp:revision>
  <cp:lastPrinted>2021-01-22T01:22:00Z</cp:lastPrinted>
  <dcterms:created xsi:type="dcterms:W3CDTF">2021-03-01T03:03:00Z</dcterms:created>
  <dcterms:modified xsi:type="dcterms:W3CDTF">2022-04-06T03:27:00Z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